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3B066">
      <w:pPr>
        <w:rPr>
          <w:rFonts w:ascii="Palatino Linotype" w:hAnsi="Palatino Linotype"/>
          <w:b/>
        </w:rPr>
      </w:pPr>
      <w:bookmarkStart w:id="1" w:name="_GoBack"/>
      <w:bookmarkEnd w:id="1"/>
      <w:r>
        <w:rPr>
          <w:rFonts w:ascii="Palatino Linotype" w:hAnsi="Palatino Linotype"/>
          <w:b/>
        </w:rPr>
        <w:t>ANEXĂ</w:t>
      </w:r>
    </w:p>
    <w:p w14:paraId="2E5924D7">
      <w:pPr>
        <w:rPr>
          <w:rFonts w:ascii="Palatino Linotype" w:hAnsi="Palatino Linotype"/>
          <w:b/>
        </w:rPr>
      </w:pPr>
    </w:p>
    <w:p w14:paraId="3C8C7A68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 xml:space="preserve">                     </w:t>
      </w:r>
    </w:p>
    <w:p w14:paraId="354F4FAF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                                 PROGRAMELE PENTRU OLIMPIADA DE CHIMIE</w:t>
      </w:r>
    </w:p>
    <w:p w14:paraId="3EB0BA6D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CLASELE a VII-a, VIII-a, a IX-a, a X-a, a XI-a, a XII-a/XIII-a </w:t>
      </w:r>
    </w:p>
    <w:p w14:paraId="3C005F70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AN ȘCOLAR 2024 – 2025</w:t>
      </w:r>
    </w:p>
    <w:p w14:paraId="330F4DAD">
      <w:pPr>
        <w:jc w:val="center"/>
        <w:rPr>
          <w:rFonts w:ascii="Palatino Linotype" w:hAnsi="Palatino Linotype"/>
        </w:rPr>
      </w:pPr>
    </w:p>
    <w:tbl>
      <w:tblPr>
        <w:tblStyle w:val="13"/>
        <w:tblW w:w="14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3959"/>
        <w:gridCol w:w="5822"/>
        <w:gridCol w:w="3402"/>
      </w:tblGrid>
      <w:tr w14:paraId="2293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vMerge w:val="restart"/>
            <w:vAlign w:val="center"/>
          </w:tcPr>
          <w:p w14:paraId="755A2D3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Clasa </w:t>
            </w:r>
          </w:p>
          <w:p w14:paraId="1F869066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a VII-a</w:t>
            </w:r>
          </w:p>
          <w:p w14:paraId="1A789C61">
            <w:pPr>
              <w:widowControl/>
              <w:autoSpaceDE/>
              <w:autoSpaceDN/>
              <w:rPr>
                <w:rFonts w:ascii="Palatino Linotype" w:hAnsi="Palatino Linotype"/>
              </w:rPr>
            </w:pPr>
          </w:p>
          <w:p w14:paraId="378B7DE0">
            <w:pPr>
              <w:widowControl/>
              <w:autoSpaceDE/>
              <w:autoSpaceDN/>
              <w:rPr>
                <w:rFonts w:ascii="Palatino Linotype" w:hAnsi="Palatino Linotype"/>
              </w:rPr>
            </w:pPr>
          </w:p>
          <w:p w14:paraId="3A48CC27">
            <w:pPr>
              <w:widowControl/>
              <w:autoSpaceDE/>
              <w:autoSpaceDN/>
              <w:rPr>
                <w:rFonts w:ascii="Palatino Linotype" w:hAnsi="Palatino Linotype"/>
              </w:rPr>
            </w:pPr>
          </w:p>
        </w:tc>
        <w:tc>
          <w:tcPr>
            <w:tcW w:w="3959" w:type="dxa"/>
            <w:shd w:val="clear" w:color="auto" w:fill="F1F1F1" w:themeFill="background1" w:themeFillShade="F2"/>
          </w:tcPr>
          <w:p w14:paraId="085E49B0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Etapa locală</w:t>
            </w:r>
          </w:p>
        </w:tc>
        <w:tc>
          <w:tcPr>
            <w:tcW w:w="5822" w:type="dxa"/>
            <w:shd w:val="clear" w:color="auto" w:fill="F1F1F1" w:themeFill="background1" w:themeFillShade="F2"/>
          </w:tcPr>
          <w:p w14:paraId="243D93FF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Etapa județeană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 w14:paraId="696353CF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Etapa națională</w:t>
            </w:r>
          </w:p>
        </w:tc>
      </w:tr>
      <w:tr w14:paraId="27A4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vMerge w:val="continue"/>
          </w:tcPr>
          <w:p w14:paraId="7F3B89B4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9" w:type="dxa"/>
          </w:tcPr>
          <w:p w14:paraId="2A1EC078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Chimia, știință a naturii.</w:t>
            </w:r>
          </w:p>
          <w:p w14:paraId="78CA7BA8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Materie. Substanță. Substanțe anorganice si substanțe organice. </w:t>
            </w:r>
          </w:p>
          <w:p w14:paraId="0AF6C17D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Fenomene fizice si fenomene chimice. Proprietăți fizice si proprietăți chimice. </w:t>
            </w:r>
          </w:p>
          <w:p w14:paraId="376989C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Substanță pură si amestecuri de substanțe (amestecuri omogene si eterogene). Puritatea substanțelor.</w:t>
            </w:r>
          </w:p>
          <w:p w14:paraId="66D7D8C1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Metode de separare a amestecurilor omogene: cristalizare si distilare. </w:t>
            </w:r>
          </w:p>
          <w:p w14:paraId="01A3642B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Metode de separare a amestecurilor eterogene: decantare si filtrare. </w:t>
            </w:r>
          </w:p>
          <w:p w14:paraId="7446895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Aerul. Apa. Solul Aerul-amestec omogen. Compoziția aerului. </w:t>
            </w:r>
          </w:p>
          <w:p w14:paraId="511049B1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Arderea - fenomen chimic. Poluarea aerului.</w:t>
            </w:r>
          </w:p>
          <w:p w14:paraId="78E7E463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Apa. Apa în natură. </w:t>
            </w:r>
          </w:p>
          <w:p w14:paraId="7331A90A">
            <w:pPr>
              <w:widowControl/>
              <w:autoSpaceDE/>
              <w:autoSpaceDN/>
              <w:jc w:val="both"/>
              <w:rPr>
                <w:rFonts w:ascii="Palatino Linotype" w:hAnsi="Palatino Linotype"/>
                <w:lang w:val="fr-BE"/>
              </w:rPr>
            </w:pPr>
            <w:r>
              <w:rPr>
                <w:rFonts w:ascii="Palatino Linotype" w:hAnsi="Palatino Linotype"/>
                <w:lang w:val="fr-BE"/>
              </w:rPr>
              <w:t xml:space="preserve">Apa potabilă - condiții de calitate a apei potabile. </w:t>
            </w:r>
          </w:p>
          <w:p w14:paraId="532EE73B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Apa distilată.</w:t>
            </w:r>
          </w:p>
          <w:p w14:paraId="4969B35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Soluții apoase. Dizolvarea. Factorii care influențează dizolvarea. </w:t>
            </w:r>
          </w:p>
          <w:p w14:paraId="77125344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Solubilitatea substanțelor. </w:t>
            </w:r>
          </w:p>
          <w:p w14:paraId="15115429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Concentrația procentuală de masă. </w:t>
            </w:r>
          </w:p>
          <w:p w14:paraId="54D6777E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Solul - amestec eterogen. Compoziția solului. </w:t>
            </w:r>
          </w:p>
          <w:p w14:paraId="42B30B5E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Laboratorul de chimie: </w:t>
            </w:r>
          </w:p>
          <w:p w14:paraId="69C7F2E2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Aparatura și ustensile utilizate în laboratorul de chimie. </w:t>
            </w:r>
          </w:p>
          <w:p w14:paraId="36BDAADC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Protecția propriei persoane și a mediului înconjurător în timpul efectuării experimentelor în laborator.</w:t>
            </w:r>
          </w:p>
        </w:tc>
        <w:tc>
          <w:tcPr>
            <w:tcW w:w="5822" w:type="dxa"/>
          </w:tcPr>
          <w:p w14:paraId="25507CD6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Sunt valabile conținuturile de la etapa locală la care se adaugă următoarele conținuturi</w:t>
            </w:r>
            <w:r>
              <w:rPr>
                <w:rFonts w:ascii="Palatino Linotype" w:hAnsi="Palatino Linotype"/>
              </w:rPr>
              <w:t>:</w:t>
            </w:r>
          </w:p>
          <w:p w14:paraId="5C81F56F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Atomul. Structura atomului. Număr atomic. Număr de masă. </w:t>
            </w:r>
          </w:p>
          <w:p w14:paraId="00B1985E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Element chimic. Simbol chimic. Izotopi. Masă atomică. </w:t>
            </w:r>
          </w:p>
          <w:p w14:paraId="382EF6FC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Învelișul de electroni. Repartizarea electronilor pe straturi pentru primele 20 de elemente din Tabelul Periodic. </w:t>
            </w:r>
          </w:p>
          <w:p w14:paraId="7CC5FB29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Tabelul Periodic al elementelor Structura Tabelului Periodic (grupe si perioade). </w:t>
            </w:r>
          </w:p>
          <w:p w14:paraId="5241427D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Relația dintre structura învelișului de electroni și poziția ocupată de element în Tabelul Periodic. </w:t>
            </w:r>
          </w:p>
          <w:p w14:paraId="2CA09326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loni. </w:t>
            </w:r>
          </w:p>
          <w:p w14:paraId="2739D533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Metale și formarea ionilor pozitivi: Na</w:t>
            </w:r>
            <w:r>
              <w:rPr>
                <w:rFonts w:ascii="Palatino Linotype" w:hAnsi="Palatino Linotype"/>
                <w:vertAlign w:val="superscript"/>
              </w:rPr>
              <w:t>+</w:t>
            </w:r>
            <w:r>
              <w:rPr>
                <w:rFonts w:ascii="Palatino Linotype" w:hAnsi="Palatino Linotype"/>
              </w:rPr>
              <w:t>, K</w:t>
            </w:r>
            <w:r>
              <w:rPr>
                <w:rFonts w:ascii="Palatino Linotype" w:hAnsi="Palatino Linotype"/>
                <w:vertAlign w:val="superscript"/>
              </w:rPr>
              <w:t>+</w:t>
            </w:r>
            <w:r>
              <w:rPr>
                <w:rFonts w:ascii="Palatino Linotype" w:hAnsi="Palatino Linotype"/>
              </w:rPr>
              <w:t>, Mg</w:t>
            </w:r>
            <w:r>
              <w:rPr>
                <w:rFonts w:ascii="Palatino Linotype" w:hAnsi="Palatino Linotype"/>
                <w:vertAlign w:val="superscript"/>
              </w:rPr>
              <w:t>2+</w:t>
            </w:r>
            <w:r>
              <w:rPr>
                <w:rFonts w:ascii="Palatino Linotype" w:hAnsi="Palatino Linotype"/>
              </w:rPr>
              <w:t>, Ca</w:t>
            </w:r>
            <w:r>
              <w:rPr>
                <w:rFonts w:ascii="Palatino Linotype" w:hAnsi="Palatino Linotype"/>
                <w:vertAlign w:val="superscript"/>
              </w:rPr>
              <w:t>2+</w:t>
            </w:r>
            <w:r>
              <w:rPr>
                <w:rFonts w:ascii="Palatino Linotype" w:hAnsi="Palatino Linotype"/>
              </w:rPr>
              <w:t>, Al</w:t>
            </w:r>
            <w:r>
              <w:rPr>
                <w:rFonts w:ascii="Palatino Linotype" w:hAnsi="Palatino Linotype"/>
                <w:vertAlign w:val="superscript"/>
              </w:rPr>
              <w:t>3+</w:t>
            </w:r>
            <w:r>
              <w:rPr>
                <w:rFonts w:ascii="Palatino Linotype" w:hAnsi="Palatino Linotype"/>
              </w:rPr>
              <w:t xml:space="preserve">. </w:t>
            </w:r>
          </w:p>
          <w:p w14:paraId="70B4C870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Nemetale și formarea ionilor negativi: F</w:t>
            </w:r>
            <w:r>
              <w:rPr>
                <w:rFonts w:ascii="Palatino Linotype" w:hAnsi="Palatino Linotype"/>
                <w:vertAlign w:val="superscript"/>
              </w:rPr>
              <w:t>-</w:t>
            </w:r>
            <w:r>
              <w:rPr>
                <w:rFonts w:ascii="Palatino Linotype" w:hAnsi="Palatino Linotype"/>
              </w:rPr>
              <w:t>, Cl</w:t>
            </w:r>
            <w:r>
              <w:rPr>
                <w:rFonts w:ascii="Palatino Linotype" w:hAnsi="Palatino Linotype"/>
                <w:vertAlign w:val="superscript"/>
              </w:rPr>
              <w:t>-</w:t>
            </w:r>
            <w:r>
              <w:rPr>
                <w:rFonts w:ascii="Palatino Linotype" w:hAnsi="Palatino Linotype"/>
              </w:rPr>
              <w:t>, O</w:t>
            </w:r>
            <w:r>
              <w:rPr>
                <w:rFonts w:ascii="Palatino Linotype" w:hAnsi="Palatino Linotype"/>
                <w:vertAlign w:val="superscript"/>
              </w:rPr>
              <w:t>2-</w:t>
            </w:r>
            <w:r>
              <w:rPr>
                <w:rFonts w:ascii="Palatino Linotype" w:hAnsi="Palatino Linotype"/>
              </w:rPr>
              <w:t>, S</w:t>
            </w:r>
            <w:r>
              <w:rPr>
                <w:rFonts w:ascii="Palatino Linotype" w:hAnsi="Palatino Linotype"/>
                <w:vertAlign w:val="superscript"/>
              </w:rPr>
              <w:t>2-</w:t>
            </w:r>
            <w:r>
              <w:rPr>
                <w:rFonts w:ascii="Palatino Linotype" w:hAnsi="Palatino Linotype"/>
              </w:rPr>
              <w:t xml:space="preserve">. </w:t>
            </w:r>
          </w:p>
          <w:p w14:paraId="627A5264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Metale și nemetale (proprietăți fizice comparație). Aliaje.</w:t>
            </w:r>
          </w:p>
          <w:p w14:paraId="09B7C124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Formarea compușilor ionici. </w:t>
            </w:r>
          </w:p>
          <w:p w14:paraId="69792A63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Proprietățile fizice ale compușilor ionici (stare de agregare, solubilitate, conductibilitate electrică). </w:t>
            </w:r>
          </w:p>
          <w:p w14:paraId="685C0D86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Molecule. Formarea moleculelor de H</w:t>
            </w:r>
            <w:r>
              <w:rPr>
                <w:rFonts w:ascii="Palatino Linotype" w:hAnsi="Palatino Linotype"/>
                <w:vertAlign w:val="subscript"/>
              </w:rPr>
              <w:t>2</w:t>
            </w:r>
            <w:r>
              <w:rPr>
                <w:rFonts w:ascii="Palatino Linotype" w:hAnsi="Palatino Linotype"/>
              </w:rPr>
              <w:t>, Cl</w:t>
            </w:r>
            <w:r>
              <w:rPr>
                <w:rFonts w:ascii="Palatino Linotype" w:hAnsi="Palatino Linotype"/>
                <w:vertAlign w:val="subscript"/>
              </w:rPr>
              <w:t>2</w:t>
            </w:r>
            <w:r>
              <w:rPr>
                <w:rFonts w:ascii="Palatino Linotype" w:hAnsi="Palatino Linotype"/>
              </w:rPr>
              <w:t>, HCl, H</w:t>
            </w:r>
            <w:r>
              <w:rPr>
                <w:rFonts w:ascii="Palatino Linotype" w:hAnsi="Palatino Linotype"/>
                <w:vertAlign w:val="subscript"/>
              </w:rPr>
              <w:t>2</w:t>
            </w:r>
            <w:r>
              <w:rPr>
                <w:rFonts w:ascii="Palatino Linotype" w:hAnsi="Palatino Linotype"/>
              </w:rPr>
              <w:t>O, NH</w:t>
            </w:r>
            <w:r>
              <w:rPr>
                <w:rFonts w:ascii="Palatino Linotype" w:hAnsi="Palatino Linotype"/>
                <w:vertAlign w:val="subscript"/>
              </w:rPr>
              <w:t>3</w:t>
            </w:r>
            <w:r>
              <w:rPr>
                <w:rFonts w:ascii="Palatino Linotype" w:hAnsi="Palatino Linotype"/>
              </w:rPr>
              <w:t>, CH</w:t>
            </w:r>
            <w:r>
              <w:rPr>
                <w:rFonts w:ascii="Palatino Linotype" w:hAnsi="Palatino Linotype"/>
                <w:vertAlign w:val="subscript"/>
              </w:rPr>
              <w:t>4</w:t>
            </w:r>
            <w:r>
              <w:rPr>
                <w:rFonts w:ascii="Palatino Linotype" w:hAnsi="Palatino Linotype"/>
              </w:rPr>
              <w:t xml:space="preserve">. Proprietăți fizice. </w:t>
            </w:r>
          </w:p>
          <w:p w14:paraId="2E7FCDA9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Valența. Formula chimică a unei substanțe. </w:t>
            </w:r>
          </w:p>
          <w:p w14:paraId="78018929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Substanțe chimice. </w:t>
            </w:r>
          </w:p>
          <w:p w14:paraId="6DF7CFA5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Substanțe simple. </w:t>
            </w:r>
          </w:p>
          <w:p w14:paraId="56E5E08E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Clasificarea substanțelor simple: metale si nemetale. </w:t>
            </w:r>
          </w:p>
          <w:p w14:paraId="4BE48BE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Substanțe compuse. </w:t>
            </w:r>
          </w:p>
          <w:p w14:paraId="19D8722B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Clasificarea substanțelor compuse: oxizi, acizi, baze, săruri. Cristalohidrati. </w:t>
            </w:r>
          </w:p>
          <w:p w14:paraId="1FA08D27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Identificarea caracterului acido-bazic a unor soluții cu ajutorul indicatorilor. Scala de </w:t>
            </w:r>
            <w:r>
              <w:rPr>
                <w:rFonts w:ascii="Palatino Linotype" w:hAnsi="Palatino Linotype"/>
                <w:i/>
              </w:rPr>
              <w:t>p</w:t>
            </w:r>
            <w:r>
              <w:rPr>
                <w:rFonts w:ascii="Palatino Linotype" w:hAnsi="Palatino Linotype"/>
              </w:rPr>
              <w:t xml:space="preserve">H. </w:t>
            </w:r>
          </w:p>
          <w:p w14:paraId="6D53C71D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Mol. Masa molară. </w:t>
            </w:r>
          </w:p>
          <w:p w14:paraId="420A9B58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pe baza formulei chimice a unei substanțe (raport atomic, raport de masă, compoziție procentuală elementală, determinarea formulei chimice a unei substanțe, determinarea masei unui element dintr-o cantitate dată de substanță, determinarea masei de substanță care conține o cantitate dată dintr-un element chimic).</w:t>
            </w:r>
          </w:p>
        </w:tc>
        <w:tc>
          <w:tcPr>
            <w:tcW w:w="3402" w:type="dxa"/>
          </w:tcPr>
          <w:p w14:paraId="2BF669E5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Sunt valabile conținuturile de la etapa județeană la care se adaugă următoarele conținuturi</w:t>
            </w:r>
            <w:r>
              <w:rPr>
                <w:rFonts w:ascii="Palatino Linotype" w:hAnsi="Palatino Linotype"/>
              </w:rPr>
              <w:t>:</w:t>
            </w:r>
          </w:p>
          <w:p w14:paraId="27493163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</w:p>
          <w:p w14:paraId="3DF86979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Tipuri de reacții chimice. </w:t>
            </w:r>
          </w:p>
          <w:p w14:paraId="7DF31DDF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Reacția de combinare. </w:t>
            </w:r>
          </w:p>
          <w:p w14:paraId="72CDE8D2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Reacția de descompunere. </w:t>
            </w:r>
          </w:p>
          <w:p w14:paraId="6069C762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Descompunerea H</w:t>
            </w:r>
            <w:r>
              <w:rPr>
                <w:rFonts w:ascii="Palatino Linotype" w:hAnsi="Palatino Linotype"/>
                <w:vertAlign w:val="subscript"/>
              </w:rPr>
              <w:t>2</w:t>
            </w:r>
            <w:r>
              <w:rPr>
                <w:rFonts w:ascii="Palatino Linotype" w:hAnsi="Palatino Linotype"/>
              </w:rPr>
              <w:t>O</w:t>
            </w:r>
            <w:r>
              <w:rPr>
                <w:rFonts w:ascii="Palatino Linotype" w:hAnsi="Palatino Linotype"/>
                <w:vertAlign w:val="subscript"/>
              </w:rPr>
              <w:t>2</w:t>
            </w:r>
            <w:r>
              <w:rPr>
                <w:rFonts w:ascii="Palatino Linotype" w:hAnsi="Palatino Linotype"/>
              </w:rPr>
              <w:t>, KClO</w:t>
            </w:r>
            <w:r>
              <w:rPr>
                <w:rFonts w:ascii="Palatino Linotype" w:hAnsi="Palatino Linotype"/>
                <w:vertAlign w:val="subscript"/>
              </w:rPr>
              <w:t>3</w:t>
            </w:r>
            <w:r>
              <w:rPr>
                <w:rFonts w:ascii="Palatino Linotype" w:hAnsi="Palatino Linotype"/>
              </w:rPr>
              <w:t xml:space="preserve">, a carbonaților neutri și a hidroxizilor. </w:t>
            </w:r>
          </w:p>
          <w:p w14:paraId="5512E79F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Reacția de substituție. </w:t>
            </w:r>
          </w:p>
          <w:p w14:paraId="514CA39D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Seria activității metalelor. </w:t>
            </w:r>
          </w:p>
          <w:p w14:paraId="042DAA9C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Reacția de schimb. </w:t>
            </w:r>
          </w:p>
          <w:p w14:paraId="66F6DDB7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Reacția de neutralizare.</w:t>
            </w:r>
          </w:p>
        </w:tc>
      </w:tr>
      <w:tr w14:paraId="3E90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23" w:type="dxa"/>
            <w:vMerge w:val="restart"/>
            <w:vAlign w:val="center"/>
          </w:tcPr>
          <w:p w14:paraId="6FDE85AA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</w:p>
          <w:p w14:paraId="46BABED2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</w:p>
          <w:p w14:paraId="05376612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</w:p>
          <w:p w14:paraId="3953639B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</w:p>
          <w:p w14:paraId="4F210B72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Clasa</w:t>
            </w:r>
          </w:p>
          <w:p w14:paraId="41C101F6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a VIII-a</w:t>
            </w:r>
          </w:p>
        </w:tc>
        <w:tc>
          <w:tcPr>
            <w:tcW w:w="3959" w:type="dxa"/>
            <w:shd w:val="clear" w:color="auto" w:fill="F1F1F1" w:themeFill="background1" w:themeFillShade="F2"/>
            <w:vAlign w:val="center"/>
          </w:tcPr>
          <w:p w14:paraId="2475034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Etapa locală</w:t>
            </w:r>
          </w:p>
        </w:tc>
        <w:tc>
          <w:tcPr>
            <w:tcW w:w="5822" w:type="dxa"/>
            <w:shd w:val="clear" w:color="auto" w:fill="F1F1F1" w:themeFill="background1" w:themeFillShade="F2"/>
            <w:vAlign w:val="center"/>
          </w:tcPr>
          <w:p w14:paraId="380B6427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>Etapa județeană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 w14:paraId="280E1033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>Etapa națională</w:t>
            </w:r>
          </w:p>
        </w:tc>
      </w:tr>
      <w:tr w14:paraId="20C8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vMerge w:val="continue"/>
          </w:tcPr>
          <w:p w14:paraId="3E2CFF93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9" w:type="dxa"/>
          </w:tcPr>
          <w:p w14:paraId="5F558537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Reacții chimice.</w:t>
            </w:r>
          </w:p>
          <w:p w14:paraId="6EE46E83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Ecuații chimice. Ecuația reacției chimice. Legea conservării masei substanțelor.</w:t>
            </w:r>
          </w:p>
          <w:p w14:paraId="4C708822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Legea conservării numărului de atomi.</w:t>
            </w:r>
          </w:p>
          <w:p w14:paraId="1423539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Stabilirea coeficienților ecuațiilor reacțiilor chimice. </w:t>
            </w:r>
          </w:p>
          <w:p w14:paraId="2A4AE6DB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Tipuri de reacții chimice.</w:t>
            </w:r>
          </w:p>
          <w:p w14:paraId="168723F9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Reacția de combinare.</w:t>
            </w:r>
          </w:p>
          <w:p w14:paraId="597BB4B6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Reacția de descompunere.</w:t>
            </w:r>
          </w:p>
          <w:p w14:paraId="79D09F3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 pe baza ecuațiilor reacțiilor de combinare și de descompunere, folosind excesul unui reactant, puritatea și concentrația procentuală de masă.</w:t>
            </w:r>
          </w:p>
        </w:tc>
        <w:tc>
          <w:tcPr>
            <w:tcW w:w="5822" w:type="dxa"/>
          </w:tcPr>
          <w:p w14:paraId="5379709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Sunt valabile conținuturile de la etapa locală la care se adaugă următoarele conținuturi</w:t>
            </w:r>
            <w:r>
              <w:rPr>
                <w:rFonts w:ascii="Palatino Linotype" w:hAnsi="Palatino Linotype"/>
              </w:rPr>
              <w:t>:</w:t>
            </w:r>
          </w:p>
          <w:p w14:paraId="0DCE00F0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Reacția de substituție. </w:t>
            </w:r>
          </w:p>
          <w:p w14:paraId="3306AAF7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Seria activității metalelor. </w:t>
            </w:r>
          </w:p>
          <w:p w14:paraId="21D98CE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 pe baza ecuației reacției de substituție, folosind excesul unui reactant, puritatea, concentrația procentuală de masă și randamentul.</w:t>
            </w:r>
          </w:p>
        </w:tc>
        <w:tc>
          <w:tcPr>
            <w:tcW w:w="3402" w:type="dxa"/>
          </w:tcPr>
          <w:p w14:paraId="31FFB5E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Sunt valabile conținuturile de la etapa județeană la care se adaugă următoarele conținuturi</w:t>
            </w:r>
            <w:r>
              <w:rPr>
                <w:rFonts w:ascii="Palatino Linotype" w:hAnsi="Palatino Linotype"/>
              </w:rPr>
              <w:t>:</w:t>
            </w:r>
          </w:p>
          <w:p w14:paraId="2C3366F7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Reacția de schimb. Reacția de neutralizare.</w:t>
            </w:r>
          </w:p>
          <w:p w14:paraId="4B01D803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 pe baza ecuației reacției de schimb (respectiv de neutralizare), folosind excesul unui reactant, puritatea, concentrația procentuală de masă și randamentul.</w:t>
            </w:r>
          </w:p>
        </w:tc>
      </w:tr>
      <w:tr w14:paraId="195C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23" w:type="dxa"/>
            <w:vMerge w:val="restart"/>
            <w:vAlign w:val="center"/>
          </w:tcPr>
          <w:p w14:paraId="5365570B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Clasa</w:t>
            </w:r>
          </w:p>
          <w:p w14:paraId="71C92087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a IX-a</w:t>
            </w:r>
          </w:p>
        </w:tc>
        <w:tc>
          <w:tcPr>
            <w:tcW w:w="3959" w:type="dxa"/>
            <w:shd w:val="clear" w:color="auto" w:fill="F1F1F1" w:themeFill="background1" w:themeFillShade="F2"/>
            <w:vAlign w:val="center"/>
          </w:tcPr>
          <w:p w14:paraId="4BF1CB9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Etapa locală</w:t>
            </w:r>
          </w:p>
        </w:tc>
        <w:tc>
          <w:tcPr>
            <w:tcW w:w="5822" w:type="dxa"/>
            <w:shd w:val="clear" w:color="auto" w:fill="F1F1F1" w:themeFill="background1" w:themeFillShade="F2"/>
            <w:vAlign w:val="center"/>
          </w:tcPr>
          <w:p w14:paraId="161C0CB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>Etapa județeană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 w14:paraId="4D2180E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>Etapa națională</w:t>
            </w:r>
          </w:p>
        </w:tc>
      </w:tr>
      <w:tr w14:paraId="25A2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vMerge w:val="continue"/>
          </w:tcPr>
          <w:p w14:paraId="7CA7726A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9" w:type="dxa"/>
          </w:tcPr>
          <w:p w14:paraId="3EDD419F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Structura învelișului electronic pentru elementele din perioadele 1, 2, 3, 4. Corelații între structura învelișului electronic, poziția în Tabelul periodic și proprietăți ale elementelor. </w:t>
            </w:r>
          </w:p>
          <w:p w14:paraId="492B4701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Variația proprietăților periodice ale elementelor, în grupele principale și în perioadele 1, 2, 3, 4. </w:t>
            </w:r>
          </w:p>
          <w:p w14:paraId="1C4FCDD4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Legătura ionică. </w:t>
            </w:r>
          </w:p>
          <w:p w14:paraId="3C97F709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Legătura covalentă polară și nepolară. Legătura coordinativă. </w:t>
            </w:r>
          </w:p>
          <w:p w14:paraId="2CECF6E0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Legătura de hidrogen. </w:t>
            </w:r>
          </w:p>
          <w:p w14:paraId="19C7CAB7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Forțe van der Waals.</w:t>
            </w:r>
          </w:p>
          <w:p w14:paraId="20B89211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</w:tc>
        <w:tc>
          <w:tcPr>
            <w:tcW w:w="5822" w:type="dxa"/>
          </w:tcPr>
          <w:p w14:paraId="63C869DE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Sunt valabile conținuturile de la etapa locală la care se adaugă următoarele conținuturi</w:t>
            </w:r>
            <w:r>
              <w:rPr>
                <w:rFonts w:ascii="Palatino Linotype" w:hAnsi="Palatino Linotype"/>
              </w:rPr>
              <w:t>:</w:t>
            </w:r>
          </w:p>
          <w:p w14:paraId="7D5588F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Dizolvarea și factorii care influențează dizolvarea. Solubilitatea. </w:t>
            </w:r>
          </w:p>
          <w:p w14:paraId="5574DB0D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Soluții apoase. Concentrația molară. </w:t>
            </w:r>
          </w:p>
          <w:p w14:paraId="7F0461D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Cristalohidrați. </w:t>
            </w:r>
          </w:p>
          <w:p w14:paraId="662AEA1E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Legile gazelor. </w:t>
            </w:r>
          </w:p>
          <w:p w14:paraId="17647FE8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Ecuația de stare a gazelor ideale. </w:t>
            </w:r>
          </w:p>
          <w:p w14:paraId="058B9631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Densitatea absolută si densitatea relativă a gazelor.</w:t>
            </w:r>
          </w:p>
          <w:p w14:paraId="570D7E09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  <w:p w14:paraId="3BA90DDD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402" w:type="dxa"/>
          </w:tcPr>
          <w:p w14:paraId="5F85B505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Sunt valabile conținuturile de la etapa județeană la care se adaugă următoarele conținuturi</w:t>
            </w:r>
            <w:r>
              <w:rPr>
                <w:rFonts w:ascii="Palatino Linotype" w:hAnsi="Palatino Linotype"/>
              </w:rPr>
              <w:t>:</w:t>
            </w:r>
          </w:p>
          <w:p w14:paraId="36BEC150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Soluții apoase de acizi (tari si slabi) si baze (tari si slabe)</w:t>
            </w:r>
          </w:p>
          <w:p w14:paraId="4F0AFBC5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p</w:t>
            </w:r>
            <w:r>
              <w:rPr>
                <w:rFonts w:ascii="Palatino Linotype" w:hAnsi="Palatino Linotype"/>
              </w:rPr>
              <w:t>H-ul solutiilor apoase.</w:t>
            </w:r>
          </w:p>
          <w:p w14:paraId="73698902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  <w:p w14:paraId="32BA06C4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</w:p>
        </w:tc>
      </w:tr>
      <w:tr w14:paraId="49C5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vMerge w:val="restart"/>
            <w:vAlign w:val="center"/>
          </w:tcPr>
          <w:p w14:paraId="60C574C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bookmarkStart w:id="0" w:name="_Hlk188527231"/>
            <w:r>
              <w:rPr>
                <w:rFonts w:ascii="Palatino Linotype" w:hAnsi="Palatino Linotype"/>
                <w:b/>
              </w:rPr>
              <w:t>Clasa</w:t>
            </w:r>
          </w:p>
          <w:p w14:paraId="121DAAD2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a X-a</w:t>
            </w:r>
          </w:p>
        </w:tc>
        <w:tc>
          <w:tcPr>
            <w:tcW w:w="3959" w:type="dxa"/>
            <w:shd w:val="clear" w:color="auto" w:fill="F1F1F1" w:themeFill="background1" w:themeFillShade="F2"/>
            <w:vAlign w:val="center"/>
          </w:tcPr>
          <w:p w14:paraId="172EFA6E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Etapa locală</w:t>
            </w:r>
          </w:p>
        </w:tc>
        <w:tc>
          <w:tcPr>
            <w:tcW w:w="5822" w:type="dxa"/>
            <w:shd w:val="clear" w:color="auto" w:fill="F1F1F1" w:themeFill="background1" w:themeFillShade="F2"/>
            <w:vAlign w:val="center"/>
          </w:tcPr>
          <w:p w14:paraId="004A140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>Etapa județeană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 w14:paraId="34EED74A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>Etapa națională</w:t>
            </w:r>
          </w:p>
        </w:tc>
      </w:tr>
      <w:bookmarkEnd w:id="0"/>
      <w:tr w14:paraId="2B63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423" w:type="dxa"/>
            <w:vMerge w:val="continue"/>
          </w:tcPr>
          <w:p w14:paraId="49FC8376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9" w:type="dxa"/>
          </w:tcPr>
          <w:p w14:paraId="774C15D0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Formule brute. </w:t>
            </w:r>
          </w:p>
          <w:p w14:paraId="3CEDC57F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Formule moleculare. </w:t>
            </w:r>
          </w:p>
          <w:p w14:paraId="08BE7993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Structura compușilor organici. </w:t>
            </w:r>
          </w:p>
          <w:p w14:paraId="0E4AA71D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Alcani. </w:t>
            </w:r>
          </w:p>
          <w:p w14:paraId="60F9CB8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Alchene.</w:t>
            </w:r>
          </w:p>
          <w:p w14:paraId="6A025C53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</w:tc>
        <w:tc>
          <w:tcPr>
            <w:tcW w:w="5822" w:type="dxa"/>
          </w:tcPr>
          <w:p w14:paraId="779CCB45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Sunt valabile conținuturile de la etapa locală la care se adaugă următoarele conținuturi</w:t>
            </w:r>
            <w:r>
              <w:rPr>
                <w:rFonts w:ascii="Palatino Linotype" w:hAnsi="Palatino Linotype"/>
              </w:rPr>
              <w:t>:</w:t>
            </w:r>
          </w:p>
          <w:p w14:paraId="06DB7068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Diene. </w:t>
            </w:r>
          </w:p>
          <w:p w14:paraId="2B73F2E4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Alchine.</w:t>
            </w:r>
          </w:p>
          <w:p w14:paraId="1A39D5A5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Arene.</w:t>
            </w:r>
          </w:p>
          <w:p w14:paraId="37C5D2FD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</w:tc>
        <w:tc>
          <w:tcPr>
            <w:tcW w:w="3402" w:type="dxa"/>
          </w:tcPr>
          <w:p w14:paraId="3B3C08A8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Sunt valabile conținuturile de la etapa județeană la care se adaugă următoarele conținuturi</w:t>
            </w:r>
            <w:r>
              <w:rPr>
                <w:rFonts w:ascii="Palatino Linotype" w:hAnsi="Palatino Linotype"/>
              </w:rPr>
              <w:t>:</w:t>
            </w:r>
          </w:p>
          <w:p w14:paraId="65ADF80F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Alcooli. </w:t>
            </w:r>
          </w:p>
          <w:p w14:paraId="5E12328F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Acizi carboxilici.</w:t>
            </w:r>
          </w:p>
          <w:p w14:paraId="7B2A935A">
            <w:pPr>
              <w:widowControl/>
              <w:autoSpaceDE/>
              <w:autoSpaceDN/>
              <w:jc w:val="both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</w:tc>
      </w:tr>
      <w:tr w14:paraId="270A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23" w:type="dxa"/>
            <w:vMerge w:val="restart"/>
            <w:vAlign w:val="center"/>
          </w:tcPr>
          <w:p w14:paraId="331955A5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Clasa</w:t>
            </w:r>
          </w:p>
          <w:p w14:paraId="6DF75F20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a XI-a</w:t>
            </w:r>
          </w:p>
        </w:tc>
        <w:tc>
          <w:tcPr>
            <w:tcW w:w="3959" w:type="dxa"/>
            <w:shd w:val="clear" w:color="auto" w:fill="F1F1F1" w:themeFill="background1" w:themeFillShade="F2"/>
          </w:tcPr>
          <w:p w14:paraId="460933B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Etapa locală</w:t>
            </w:r>
          </w:p>
        </w:tc>
        <w:tc>
          <w:tcPr>
            <w:tcW w:w="5822" w:type="dxa"/>
            <w:shd w:val="clear" w:color="auto" w:fill="F1F1F1" w:themeFill="background1" w:themeFillShade="F2"/>
          </w:tcPr>
          <w:p w14:paraId="6A115B93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>Etapa județeană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 w14:paraId="36F318C7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>Etapa națională</w:t>
            </w:r>
          </w:p>
        </w:tc>
      </w:tr>
      <w:tr w14:paraId="10B2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3" w:type="dxa"/>
            <w:vMerge w:val="continue"/>
          </w:tcPr>
          <w:p w14:paraId="5500BA67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9" w:type="dxa"/>
          </w:tcPr>
          <w:p w14:paraId="17FBDA83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Izomeria compușilor organici (izomerie de constituție, izomerie sterică). </w:t>
            </w:r>
          </w:p>
          <w:p w14:paraId="33FA85F1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Compuși halogenați. </w:t>
            </w:r>
          </w:p>
          <w:p w14:paraId="2CF14AC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Compuși hidroxilici.</w:t>
            </w:r>
          </w:p>
          <w:p w14:paraId="3FCEF1DD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</w:tc>
        <w:tc>
          <w:tcPr>
            <w:tcW w:w="5822" w:type="dxa"/>
          </w:tcPr>
          <w:p w14:paraId="012173E5">
            <w:pPr>
              <w:widowControl/>
              <w:autoSpaceDE/>
              <w:autoSpaceDN/>
              <w:jc w:val="both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Sunt valabile conținuturile de la etapa locală la care se adaugă următoarele conținuturi:</w:t>
            </w:r>
          </w:p>
          <w:p w14:paraId="580B9025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Amine.</w:t>
            </w:r>
          </w:p>
          <w:p w14:paraId="4EA5D234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Compuși carbonilici.</w:t>
            </w:r>
          </w:p>
          <w:p w14:paraId="4A7DEAE8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Derivați funcționali ai acizilor carboxilici (esteri, cloruri acide, amide, anhidride acide, nitrili)</w:t>
            </w:r>
          </w:p>
          <w:p w14:paraId="5BA9B433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</w:tc>
        <w:tc>
          <w:tcPr>
            <w:tcW w:w="3402" w:type="dxa"/>
          </w:tcPr>
          <w:p w14:paraId="1872F447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Sunt valabile conținuturile de la etapa județeană la care se adaugă următoarele conținuturi</w:t>
            </w:r>
            <w:r>
              <w:rPr>
                <w:rFonts w:ascii="Palatino Linotype" w:hAnsi="Palatino Linotype"/>
              </w:rPr>
              <w:t>:</w:t>
            </w:r>
          </w:p>
          <w:p w14:paraId="07068A8D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Grăsimi. </w:t>
            </w:r>
          </w:p>
          <w:p w14:paraId="20FDF7E6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Săpunuri. </w:t>
            </w:r>
          </w:p>
          <w:p w14:paraId="4A1C00A1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Detergenți.</w:t>
            </w:r>
          </w:p>
          <w:p w14:paraId="2F5104AB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Efecte electronice. </w:t>
            </w:r>
          </w:p>
          <w:p w14:paraId="522CE857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Mecanisme de reactie.</w:t>
            </w:r>
          </w:p>
          <w:p w14:paraId="1FDA31BE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</w:tc>
      </w:tr>
      <w:tr w14:paraId="6668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423" w:type="dxa"/>
            <w:vMerge w:val="restart"/>
            <w:vAlign w:val="center"/>
          </w:tcPr>
          <w:p w14:paraId="3D5C9233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Clasa</w:t>
            </w:r>
          </w:p>
          <w:p w14:paraId="236175DC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a XII-a/ XIII-a</w:t>
            </w:r>
          </w:p>
        </w:tc>
        <w:tc>
          <w:tcPr>
            <w:tcW w:w="3959" w:type="dxa"/>
            <w:shd w:val="clear" w:color="auto" w:fill="F1F1F1" w:themeFill="background1" w:themeFillShade="F2"/>
          </w:tcPr>
          <w:p w14:paraId="6CF34FC3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Etapa locală</w:t>
            </w:r>
          </w:p>
        </w:tc>
        <w:tc>
          <w:tcPr>
            <w:tcW w:w="5822" w:type="dxa"/>
            <w:shd w:val="clear" w:color="auto" w:fill="F1F1F1" w:themeFill="background1" w:themeFillShade="F2"/>
          </w:tcPr>
          <w:p w14:paraId="4D47D9AF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>Etapa județeană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 w14:paraId="5876F380">
            <w:pPr>
              <w:widowControl/>
              <w:autoSpaceDE/>
              <w:autoSpaceDN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</w:rPr>
              <w:t>Etapa națională</w:t>
            </w:r>
          </w:p>
        </w:tc>
      </w:tr>
      <w:tr w14:paraId="6026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3" w:type="dxa"/>
            <w:vMerge w:val="continue"/>
          </w:tcPr>
          <w:p w14:paraId="4E9281EB">
            <w:pPr>
              <w:widowControl/>
              <w:autoSpaceDE/>
              <w:autoSpaceDN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9" w:type="dxa"/>
          </w:tcPr>
          <w:p w14:paraId="658EF3AE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Termochimie: Entalpie de reacție. Căldura de combustie - arderea combustibililor Căldura de neutralizare (acid tare - bază tare). </w:t>
            </w:r>
          </w:p>
          <w:p w14:paraId="382735D9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Legea Hess. </w:t>
            </w:r>
          </w:p>
          <w:p w14:paraId="5349A54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Căldura de dizolvare. </w:t>
            </w:r>
          </w:p>
          <w:p w14:paraId="4B56F175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Cinetică chimică: Viteza de reacție. Legea vitezei.</w:t>
            </w:r>
          </w:p>
          <w:p w14:paraId="6179ECB8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Catalizatori. Inhibitori. </w:t>
            </w:r>
          </w:p>
          <w:p w14:paraId="1D7B392B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Influenta concentrației, temperaturii, catalizatorilor asupra vitezei de reacție. Ecuația Arrhenius.</w:t>
            </w:r>
          </w:p>
          <w:p w14:paraId="1B4CF6CC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</w:tc>
        <w:tc>
          <w:tcPr>
            <w:tcW w:w="5822" w:type="dxa"/>
          </w:tcPr>
          <w:p w14:paraId="72A4B138">
            <w:pPr>
              <w:widowControl/>
              <w:autoSpaceDE/>
              <w:autoSpaceDN/>
              <w:jc w:val="both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Sunt valabile conținuturile de la etapa locală la care se adaugă următoarele conținuturi:</w:t>
            </w:r>
          </w:p>
          <w:p w14:paraId="46D803BF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Potențiale standard de electrod.</w:t>
            </w:r>
          </w:p>
          <w:p w14:paraId="6814A26E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Pile electrice.</w:t>
            </w:r>
          </w:p>
          <w:p w14:paraId="7AA85350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Electroliza soluțiilor apoase și a topiturilor.</w:t>
            </w:r>
          </w:p>
          <w:p w14:paraId="26911FD9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Titrări redox.</w:t>
            </w:r>
          </w:p>
          <w:p w14:paraId="287F7E02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</w:tc>
        <w:tc>
          <w:tcPr>
            <w:tcW w:w="3402" w:type="dxa"/>
          </w:tcPr>
          <w:p w14:paraId="3E11D2B7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</w:rPr>
              <w:t>Sunt valabile conținuturile de la etapa județeană la care se adaugă următoarele conținuturi</w:t>
            </w:r>
            <w:r>
              <w:rPr>
                <w:rFonts w:ascii="Palatino Linotype" w:hAnsi="Palatino Linotype"/>
              </w:rPr>
              <w:t>:</w:t>
            </w:r>
          </w:p>
          <w:p w14:paraId="05D8A372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Soluții apoase de acizi (tari și slabi) și baze (tari și slabe). </w:t>
            </w:r>
          </w:p>
          <w:p w14:paraId="63030C7A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pH-ul soluțiilor apoase. </w:t>
            </w:r>
          </w:p>
          <w:p w14:paraId="070289C7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Titrări acido-bazice.</w:t>
            </w:r>
          </w:p>
          <w:p w14:paraId="076C4886">
            <w:pPr>
              <w:widowControl/>
              <w:autoSpaceDE/>
              <w:autoSpaceDN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Calcule stoechiometrice.</w:t>
            </w:r>
          </w:p>
        </w:tc>
      </w:tr>
    </w:tbl>
    <w:p w14:paraId="52C949D4">
      <w:pPr>
        <w:jc w:val="center"/>
        <w:rPr>
          <w:rFonts w:ascii="Palatino Linotype" w:hAnsi="Palatino Linotype"/>
        </w:rPr>
      </w:pPr>
    </w:p>
    <w:p w14:paraId="711228AD">
      <w:pPr>
        <w:tabs>
          <w:tab w:val="left" w:pos="7731"/>
        </w:tabs>
        <w:spacing w:line="276" w:lineRule="auto"/>
        <w:ind w:right="159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Notă</w:t>
      </w:r>
      <w:r>
        <w:rPr>
          <w:rFonts w:ascii="Palatino Linotype" w:hAnsi="Palatino Linotype"/>
        </w:rPr>
        <w:t>: Subiectele de la fiecare etapă pot conţine teme din clasele anterioare.</w:t>
      </w:r>
    </w:p>
    <w:sectPr>
      <w:headerReference r:id="rId3" w:type="default"/>
      <w:footerReference r:id="rId4" w:type="default"/>
      <w:pgSz w:w="16840" w:h="11910" w:orient="landscape"/>
      <w:pgMar w:top="851" w:right="1418" w:bottom="850" w:left="709" w:header="384" w:footer="0" w:gutter="0"/>
      <w:pgNumType w:start="11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Palatino Linotype">
    <w:panose1 w:val="02040502050505030304"/>
    <w:charset w:val="EE"/>
    <w:family w:val="roman"/>
    <w:pitch w:val="default"/>
    <w:sig w:usb0="E0000287" w:usb1="40000013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3400553"/>
      <w:docPartObj>
        <w:docPartGallery w:val="AutoText"/>
      </w:docPartObj>
    </w:sdtPr>
    <w:sdtContent>
      <w:p w14:paraId="3CEFD6DA"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51E4CFBF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96EDC">
    <w:pPr>
      <w:pStyle w:val="6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0D"/>
    <w:rsid w:val="00007B37"/>
    <w:rsid w:val="000130E5"/>
    <w:rsid w:val="0001428E"/>
    <w:rsid w:val="00021926"/>
    <w:rsid w:val="000402B2"/>
    <w:rsid w:val="00043214"/>
    <w:rsid w:val="0005485D"/>
    <w:rsid w:val="00057CD2"/>
    <w:rsid w:val="000742F1"/>
    <w:rsid w:val="000848FE"/>
    <w:rsid w:val="000A0D6C"/>
    <w:rsid w:val="000A6A4A"/>
    <w:rsid w:val="000B2837"/>
    <w:rsid w:val="000B5B99"/>
    <w:rsid w:val="000C60AE"/>
    <w:rsid w:val="000F16CC"/>
    <w:rsid w:val="000F56AA"/>
    <w:rsid w:val="001107FE"/>
    <w:rsid w:val="001250FD"/>
    <w:rsid w:val="00141DEB"/>
    <w:rsid w:val="00155DA3"/>
    <w:rsid w:val="001C233A"/>
    <w:rsid w:val="001C2A11"/>
    <w:rsid w:val="001C6404"/>
    <w:rsid w:val="001D7D09"/>
    <w:rsid w:val="001E242D"/>
    <w:rsid w:val="001E279D"/>
    <w:rsid w:val="001F3AD8"/>
    <w:rsid w:val="002270B8"/>
    <w:rsid w:val="00232793"/>
    <w:rsid w:val="00276664"/>
    <w:rsid w:val="00281651"/>
    <w:rsid w:val="00295094"/>
    <w:rsid w:val="002A70BD"/>
    <w:rsid w:val="002C444C"/>
    <w:rsid w:val="002D2212"/>
    <w:rsid w:val="002D2A4A"/>
    <w:rsid w:val="002E09A5"/>
    <w:rsid w:val="002E1C09"/>
    <w:rsid w:val="002F6726"/>
    <w:rsid w:val="002F7F9B"/>
    <w:rsid w:val="00302E38"/>
    <w:rsid w:val="00326C1D"/>
    <w:rsid w:val="00355F79"/>
    <w:rsid w:val="00385F6D"/>
    <w:rsid w:val="003B01F8"/>
    <w:rsid w:val="003C4ECC"/>
    <w:rsid w:val="003C574F"/>
    <w:rsid w:val="003D3558"/>
    <w:rsid w:val="003D6B05"/>
    <w:rsid w:val="003E16BA"/>
    <w:rsid w:val="00420006"/>
    <w:rsid w:val="00472B45"/>
    <w:rsid w:val="0047729F"/>
    <w:rsid w:val="004879DC"/>
    <w:rsid w:val="00492FF9"/>
    <w:rsid w:val="00497EC9"/>
    <w:rsid w:val="004A6FF1"/>
    <w:rsid w:val="004B0166"/>
    <w:rsid w:val="005160F0"/>
    <w:rsid w:val="005167CB"/>
    <w:rsid w:val="005266CD"/>
    <w:rsid w:val="0053592F"/>
    <w:rsid w:val="005445BC"/>
    <w:rsid w:val="00551488"/>
    <w:rsid w:val="00557E22"/>
    <w:rsid w:val="00570CF9"/>
    <w:rsid w:val="005968A6"/>
    <w:rsid w:val="005A6181"/>
    <w:rsid w:val="005B6C10"/>
    <w:rsid w:val="005C3D92"/>
    <w:rsid w:val="00640202"/>
    <w:rsid w:val="006470ED"/>
    <w:rsid w:val="0064754E"/>
    <w:rsid w:val="00655FCE"/>
    <w:rsid w:val="00685954"/>
    <w:rsid w:val="00691B1D"/>
    <w:rsid w:val="006921E0"/>
    <w:rsid w:val="006B5BA5"/>
    <w:rsid w:val="006C5314"/>
    <w:rsid w:val="006D6AC7"/>
    <w:rsid w:val="006E467A"/>
    <w:rsid w:val="006F507C"/>
    <w:rsid w:val="0070410D"/>
    <w:rsid w:val="00744A6A"/>
    <w:rsid w:val="00745161"/>
    <w:rsid w:val="00762186"/>
    <w:rsid w:val="0078748C"/>
    <w:rsid w:val="00793B52"/>
    <w:rsid w:val="007A4294"/>
    <w:rsid w:val="007B7065"/>
    <w:rsid w:val="007D01B3"/>
    <w:rsid w:val="007D21BD"/>
    <w:rsid w:val="0080075C"/>
    <w:rsid w:val="00806E39"/>
    <w:rsid w:val="00812A0F"/>
    <w:rsid w:val="00821B83"/>
    <w:rsid w:val="00841F32"/>
    <w:rsid w:val="00860CF3"/>
    <w:rsid w:val="008649E8"/>
    <w:rsid w:val="0088361F"/>
    <w:rsid w:val="008E1130"/>
    <w:rsid w:val="00907A1A"/>
    <w:rsid w:val="00920BB6"/>
    <w:rsid w:val="00940C57"/>
    <w:rsid w:val="009573F1"/>
    <w:rsid w:val="0096657A"/>
    <w:rsid w:val="00975E07"/>
    <w:rsid w:val="009A26D2"/>
    <w:rsid w:val="009B6307"/>
    <w:rsid w:val="009E3654"/>
    <w:rsid w:val="009F4CD2"/>
    <w:rsid w:val="00A07F11"/>
    <w:rsid w:val="00A52757"/>
    <w:rsid w:val="00A52CAC"/>
    <w:rsid w:val="00AB6338"/>
    <w:rsid w:val="00B04E68"/>
    <w:rsid w:val="00B24B25"/>
    <w:rsid w:val="00B4337D"/>
    <w:rsid w:val="00B466B0"/>
    <w:rsid w:val="00BA653F"/>
    <w:rsid w:val="00BB6E3E"/>
    <w:rsid w:val="00BD689B"/>
    <w:rsid w:val="00BF36B7"/>
    <w:rsid w:val="00C33A0A"/>
    <w:rsid w:val="00C52076"/>
    <w:rsid w:val="00C730F2"/>
    <w:rsid w:val="00C91222"/>
    <w:rsid w:val="00CC45D4"/>
    <w:rsid w:val="00CD0663"/>
    <w:rsid w:val="00CE416E"/>
    <w:rsid w:val="00CF1E01"/>
    <w:rsid w:val="00D009DF"/>
    <w:rsid w:val="00D00B63"/>
    <w:rsid w:val="00D02B0D"/>
    <w:rsid w:val="00D02E19"/>
    <w:rsid w:val="00D12998"/>
    <w:rsid w:val="00D16069"/>
    <w:rsid w:val="00D30F58"/>
    <w:rsid w:val="00D41322"/>
    <w:rsid w:val="00D60664"/>
    <w:rsid w:val="00D72394"/>
    <w:rsid w:val="00DA3AC6"/>
    <w:rsid w:val="00DC0C60"/>
    <w:rsid w:val="00DD1C96"/>
    <w:rsid w:val="00DE2137"/>
    <w:rsid w:val="00DF1B88"/>
    <w:rsid w:val="00DF4D2A"/>
    <w:rsid w:val="00DF5D49"/>
    <w:rsid w:val="00E00639"/>
    <w:rsid w:val="00E03A8A"/>
    <w:rsid w:val="00E21845"/>
    <w:rsid w:val="00E33625"/>
    <w:rsid w:val="00E65F06"/>
    <w:rsid w:val="00E95E01"/>
    <w:rsid w:val="00EA7E56"/>
    <w:rsid w:val="00EB08C5"/>
    <w:rsid w:val="00EE286A"/>
    <w:rsid w:val="00EE721B"/>
    <w:rsid w:val="00EF79F8"/>
    <w:rsid w:val="00F00A77"/>
    <w:rsid w:val="00F21BB1"/>
    <w:rsid w:val="00F41D6E"/>
    <w:rsid w:val="00F450B9"/>
    <w:rsid w:val="00F50B5F"/>
    <w:rsid w:val="00F74100"/>
    <w:rsid w:val="00F86BC6"/>
    <w:rsid w:val="00F912B3"/>
    <w:rsid w:val="00F92DF4"/>
    <w:rsid w:val="00FA6740"/>
    <w:rsid w:val="00FF6ABB"/>
    <w:rsid w:val="652E1C0D"/>
    <w:rsid w:val="7C36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type="paragraph" w:styleId="2">
    <w:name w:val="heading 1"/>
    <w:basedOn w:val="1"/>
    <w:qFormat/>
    <w:uiPriority w:val="9"/>
    <w:pPr>
      <w:ind w:left="1103" w:hanging="72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22"/>
    <w:qFormat/>
    <w:uiPriority w:val="1"/>
    <w:pPr>
      <w:ind w:left="23"/>
    </w:pPr>
    <w:rPr>
      <w:sz w:val="24"/>
      <w:szCs w:val="24"/>
    </w:rPr>
  </w:style>
  <w:style w:type="paragraph" w:styleId="7">
    <w:name w:val="Body Text Indent"/>
    <w:basedOn w:val="1"/>
    <w:link w:val="23"/>
    <w:unhideWhenUsed/>
    <w:uiPriority w:val="99"/>
    <w:pPr>
      <w:spacing w:after="120"/>
      <w:ind w:left="283"/>
    </w:pPr>
  </w:style>
  <w:style w:type="character" w:styleId="8">
    <w:name w:val="Emphasis"/>
    <w:basedOn w:val="3"/>
    <w:qFormat/>
    <w:uiPriority w:val="20"/>
    <w:rPr>
      <w:i/>
      <w:iCs/>
    </w:rPr>
  </w:style>
  <w:style w:type="paragraph" w:styleId="9">
    <w:name w:val="footer"/>
    <w:basedOn w:val="1"/>
    <w:link w:val="18"/>
    <w:unhideWhenUsed/>
    <w:uiPriority w:val="99"/>
    <w:pPr>
      <w:tabs>
        <w:tab w:val="center" w:pos="4536"/>
        <w:tab w:val="right" w:pos="9072"/>
      </w:tabs>
    </w:pPr>
  </w:style>
  <w:style w:type="paragraph" w:styleId="10">
    <w:name w:val="header"/>
    <w:basedOn w:val="1"/>
    <w:link w:val="17"/>
    <w:unhideWhenUsed/>
    <w:uiPriority w:val="99"/>
    <w:pPr>
      <w:tabs>
        <w:tab w:val="center" w:pos="4536"/>
        <w:tab w:val="right" w:pos="9072"/>
      </w:tabs>
    </w:pPr>
  </w:style>
  <w:style w:type="character" w:styleId="11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line number"/>
    <w:basedOn w:val="3"/>
    <w:semiHidden/>
    <w:unhideWhenUsed/>
    <w:uiPriority w:val="99"/>
  </w:style>
  <w:style w:type="table" w:styleId="13">
    <w:name w:val="Table Grid"/>
    <w:basedOn w:val="4"/>
    <w:uiPriority w:val="39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qFormat/>
    <w:uiPriority w:val="10"/>
    <w:pPr>
      <w:ind w:right="115"/>
      <w:jc w:val="center"/>
    </w:pPr>
    <w:rPr>
      <w:b/>
      <w:bCs/>
      <w:sz w:val="28"/>
      <w:szCs w:val="28"/>
    </w:rPr>
  </w:style>
  <w:style w:type="paragraph" w:styleId="15">
    <w:name w:val="List Paragraph"/>
    <w:basedOn w:val="1"/>
    <w:qFormat/>
    <w:uiPriority w:val="1"/>
    <w:pPr>
      <w:ind w:left="23"/>
      <w:jc w:val="both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Header Char"/>
    <w:basedOn w:val="3"/>
    <w:link w:val="10"/>
    <w:uiPriority w:val="99"/>
    <w:rPr>
      <w:rFonts w:ascii="Times New Roman" w:hAnsi="Times New Roman" w:eastAsia="Times New Roman" w:cs="Times New Roman"/>
      <w:lang w:val="ro-RO"/>
    </w:rPr>
  </w:style>
  <w:style w:type="character" w:customStyle="1" w:styleId="18">
    <w:name w:val="Footer Char"/>
    <w:basedOn w:val="3"/>
    <w:link w:val="9"/>
    <w:uiPriority w:val="99"/>
    <w:rPr>
      <w:rFonts w:ascii="Times New Roman" w:hAnsi="Times New Roman" w:eastAsia="Times New Roman" w:cs="Times New Roman"/>
      <w:lang w:val="ro-RO"/>
    </w:rPr>
  </w:style>
  <w:style w:type="character" w:customStyle="1" w:styleId="19">
    <w:name w:val="lewnzc"/>
    <w:basedOn w:val="3"/>
    <w:uiPriority w:val="0"/>
  </w:style>
  <w:style w:type="paragraph" w:styleId="20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type="paragraph" w:customStyle="1" w:styleId="21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  <w:style w:type="character" w:customStyle="1" w:styleId="22">
    <w:name w:val="Body Text Char"/>
    <w:basedOn w:val="3"/>
    <w:link w:val="6"/>
    <w:uiPriority w:val="1"/>
    <w:rPr>
      <w:rFonts w:ascii="Times New Roman" w:hAnsi="Times New Roman" w:eastAsia="Times New Roman" w:cs="Times New Roman"/>
      <w:sz w:val="24"/>
      <w:szCs w:val="24"/>
      <w:lang w:val="ro-RO"/>
    </w:rPr>
  </w:style>
  <w:style w:type="character" w:customStyle="1" w:styleId="23">
    <w:name w:val="Body Text Indent Char"/>
    <w:basedOn w:val="3"/>
    <w:link w:val="7"/>
    <w:uiPriority w:val="99"/>
    <w:rPr>
      <w:rFonts w:ascii="Times New Roman" w:hAnsi="Times New Roman" w:eastAsia="Times New Roman" w:cs="Times New Roman"/>
      <w:lang w:val="ro-RO"/>
    </w:rPr>
  </w:style>
  <w:style w:type="character" w:customStyle="1" w:styleId="24">
    <w:name w:val="Balloon Text Char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3CFC-9B25-4C17-879E-718776696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6380</Characters>
  <Lines>53</Lines>
  <Paragraphs>14</Paragraphs>
  <TotalTime>35</TotalTime>
  <ScaleCrop>false</ScaleCrop>
  <LinksUpToDate>false</LinksUpToDate>
  <CharactersWithSpaces>7466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2025-01-27T14:40:00Z</dcterms:created>
  <dc:creator>Felicia</dc:creator>
  <cp:lastModifiedBy>User</cp:lastModifiedBy>
  <cp:lastPrinted>2025-01-27T15:41:00Z</cp:lastPrinted>
  <dcterms:modified xsi:type="dcterms:W3CDTF">2025-02-11T09:16:43Z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1033-12.2.0.19805</vt:lpwstr>
  </property>
  <property fmtid="{D5CDD505-2E9C-101B-9397-08002B2CF9AE}" pid="7" name="ICV">
    <vt:lpwstr>AB115E6C0F7F42C79FAF7165BC00046A_13</vt:lpwstr>
  </property>
</Properties>
</file>