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00" w:rsidRPr="005B3400" w:rsidRDefault="005B3400" w:rsidP="005B3400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9525" cy="9525"/>
            <wp:effectExtent l="0" t="0" r="0" b="0"/>
            <wp:docPr id="1" name="Picture 1" descr="http://r20.rs6.net/on.jsp?a=1107137833133&amp;r=3&amp;c=260dab30-dda1-11e3-bd91-d4ae529cde13&amp;d=1124704851666&amp;ch=bde67260-e76f-11e4-9a50-d4ae52724810&amp;ca=4cfa0909-1f8b-4314-85e5-3a7fb8426415&amp;o=https://imgssl.constantcontact.com/ui/images1/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20.rs6.net/on.jsp?a=1107137833133&amp;r=3&amp;c=260dab30-dda1-11e3-bd91-d4ae529cde13&amp;d=1124704851666&amp;ch=bde67260-e76f-11e4-9a50-d4ae52724810&amp;ca=4cfa0909-1f8b-4314-85e5-3a7fb8426415&amp;o=https://imgssl.constantcontact.com/ui/images1/s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60"/>
      </w:tblGrid>
      <w:tr w:rsidR="005B3400" w:rsidRPr="005B3400" w:rsidTr="005B3400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55" w:type="dxa"/>
              <w:left w:w="0" w:type="dxa"/>
              <w:bottom w:w="27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60"/>
            </w:tblGrid>
            <w:tr w:rsidR="005B3400" w:rsidRPr="005B3400">
              <w:trPr>
                <w:tblCellSpacing w:w="0" w:type="dxa"/>
                <w:jc w:val="center"/>
              </w:trPr>
              <w:tc>
                <w:tcPr>
                  <w:tcW w:w="5000" w:type="pct"/>
                  <w:shd w:val="clear" w:color="auto" w:fill="auto"/>
                  <w:hideMark/>
                </w:tcPr>
                <w:tbl>
                  <w:tblPr>
                    <w:tblW w:w="102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60"/>
                  </w:tblGrid>
                  <w:tr w:rsidR="005B3400" w:rsidRPr="005B3400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255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60606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20"/>
                                  <w:szCs w:val="20"/>
                                </w:rPr>
                                <w:drawing>
                                  <wp:inline distT="0" distB="0" distL="0" distR="0">
                                    <wp:extent cx="1533525" cy="666750"/>
                                    <wp:effectExtent l="19050" t="0" r="9525" b="0"/>
                                    <wp:docPr id="2" name="yui_3_16_0_ym19_1_1463482746338_2417" descr="http://files.ctctcdn.com/da8ae86c101/70021c26-a2c8-4f75-ba51-95e1a55bb08f.jpg">
                                      <a:hlinkClick xmlns:a="http://schemas.openxmlformats.org/drawingml/2006/main" r:id="rId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63482746338_2417" descr="http://files.ctctcdn.com/da8ae86c101/70021c26-a2c8-4f75-ba51-95e1a55bb08f.jpg">
                                              <a:hlinkClick r:id="rId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33525" cy="666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0" w:type="dxa"/>
                                <w:bottom w:w="3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9360"/>
                              </w:tblGrid>
                              <w:tr w:rsidR="005B3400" w:rsidRPr="005B3400">
                                <w:trPr>
                                  <w:trHeight w:val="15"/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:rsidR="005B3400" w:rsidRPr="005B3400" w:rsidRDefault="005B3400" w:rsidP="005B3400">
                                    <w:pPr>
                                      <w:spacing w:after="0" w:line="15" w:lineRule="atLeast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sz w:val="24"/>
                                        <w:szCs w:val="24"/>
                                      </w:rPr>
                                      <w:drawing>
                                        <wp:inline distT="0" distB="0" distL="0" distR="0">
                                          <wp:extent cx="47625" cy="9525"/>
                                          <wp:effectExtent l="0" t="0" r="0" b="0"/>
                                          <wp:docPr id="3" name="Picture 3" descr="http://img.constantcontact.com/letters/images/1101116784221/S.gif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://img.constantcontact.com/letters/images/1101116784221/S.gif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/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7625" cy="95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noFill/>
                                                    <a:miter lim="800000"/>
                                                    <a:headEnd/>
                                                    <a:tailEnd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A3CC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85725"/>
                                    <wp:effectExtent l="19050" t="0" r="0" b="0"/>
                                    <wp:docPr id="4" name="Picture 4" descr="https://imgssl.constantcontact.com/letters/images/1101116784221/PM_GMIP_BarTopShadow.pn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imgssl.constantcontact.com/letters/images/1101116784221/PM_GMIP_BarTopShadow.pn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Reîncep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înscrierile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>Fiecare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>Copil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FFFFFF"/>
                                  <w:sz w:val="36"/>
                                </w:rPr>
                                <w:t>!</w:t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vAlign w:val="bottom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76200"/>
                                    <wp:effectExtent l="19050" t="0" r="0" b="0"/>
                                    <wp:docPr id="5" name="Picture 5" descr="https://imgssl.constantcontact.com/letters/images/1101116784221/PM_GMIP_BarBottomShado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imgssl.constantcontact.com/letters/images/1101116784221/PM_GMIP_BarBottomShado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8000"/>
                                  <w:sz w:val="24"/>
                                  <w:szCs w:val="24"/>
                                </w:rPr>
                                <w:t>ANUNȚ IMPORTANT: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Guvernul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a</w:t>
                              </w:r>
                              <w:proofErr w:type="gram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emis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Ordonanța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Urgență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nr. 14/11.05.2016 (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publicată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M.O. nr. 368/12.05.2016)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>prin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002F53"/>
                                  <w:sz w:val="24"/>
                                  <w:szCs w:val="24"/>
                                </w:rPr>
                                <w:t xml:space="preserve"> care 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se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elimină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vârsta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maximă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gram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(6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ani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)</w:t>
                              </w:r>
                              <w:proofErr w:type="gram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vârsta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minimă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(3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ani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acordarea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tichetului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social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002F53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De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adoptarea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legii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februarie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până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astăzi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circa 60.000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copii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din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cei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110.000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estimați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Ministerul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Muncii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s-au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înscris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program.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Datorită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acestei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modificări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încă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29.000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copii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vor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putea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beneficia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tichetul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social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. 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copiii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înscriși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învățământul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preșcolar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anul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2015-2016,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termenul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depunere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cererilor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solicitare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stimulentul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educațional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este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maxim 30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zile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lucrătoare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publicarea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M.Of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gram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din</w:t>
                              </w:r>
                              <w:proofErr w:type="gram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12.05.2016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(24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iunie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inclusiv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).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Spor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înscrieri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să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aducem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cât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mai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mulți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copii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cât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mai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curând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!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noProof/>
                                  <w:color w:val="13416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5972175" cy="2733675"/>
                                    <wp:effectExtent l="19050" t="0" r="9525" b="0"/>
                                    <wp:docPr id="6" name="Picture 6" descr="http://files.ctctcdn.com/da8ae86c101/0e38d89e-17ac-4b95-a7c9-c4b9cf7e33b1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://files.ctctcdn.com/da8ae86c101/0e38d89e-17ac-4b95-a7c9-c4b9cf7e33b1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72175" cy="2733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A3CC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85725"/>
                                    <wp:effectExtent l="19050" t="0" r="0" b="0"/>
                                    <wp:docPr id="7" name="Picture 7" descr="https://imgssl.constantcontact.com/letters/images/1101116784221/PM_GMIP_BarTopShadow.pn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imgssl.constantcontact.com/letters/images/1101116784221/PM_GMIP_BarTopShadow.pn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lastRenderedPageBreak/>
                                <w:t>Suntem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alături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voi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avem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răspunsuri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! </w:t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vAlign w:val="bottom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76200"/>
                                    <wp:effectExtent l="19050" t="0" r="0" b="0"/>
                                    <wp:docPr id="8" name="yui_3_16_0_ym19_1_1463482746338_2522" descr="https://imgssl.constantcontact.com/letters/images/1101116784221/PM_GMIP_BarBottomShado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63482746338_2522" descr="https://imgssl.constantcontact.com/letters/images/1101116784221/PM_GMIP_BarBottomShado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76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Cu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această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ocazie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împărtășim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cu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voi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soluțiile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cele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mai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des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întâlnite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probleme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implementarea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nr. 248/2015,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semnalate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beneficiari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autorități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generate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interpretări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diferite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ale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Astfel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: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1. 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Acordarea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dreptului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tichete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sociale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(TSG) 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  <w:u w:val="single"/>
                                </w:rPr>
                                <w:t xml:space="preserve">nu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  <w:u w:val="single"/>
                                </w:rPr>
                                <w:t>poate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condiționată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suplimentar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față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criteriile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stabilite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nr. 248/2015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normele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implementare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HG 15/2016: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venitul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per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membru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familie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dovada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înscrierii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2. 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Distribuirea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tichetului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se face DOAR cu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îndeplinirea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condițiilor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frecvență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regulată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chiar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o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singură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absență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nemotivată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duce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neacordarea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TSG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luna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respectivă</w:t>
                              </w:r>
                              <w:proofErr w:type="spellEnd"/>
                              <w:proofErr w:type="gram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.(</w:t>
                              </w:r>
                              <w:proofErr w:type="spellStart"/>
                              <w:proofErr w:type="gram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vezi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. art. 5(3) din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nr. 248/2015). 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3. 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Datoriile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bugetul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local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sau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central ale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părintelui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/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tutorelui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copilului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care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întrunește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celelalte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condiții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(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venit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&amp;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prezență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) </w:t>
                              </w: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  <w:u w:val="single"/>
                                </w:rPr>
                                <w:t xml:space="preserve">nu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  <w:u w:val="single"/>
                                </w:rPr>
                                <w:t>constituie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temei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neacordarea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modificarea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sau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încetarea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dreptului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stimulentul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educațional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sub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formă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TSG. 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4. 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Beneficiarii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NU TREBUIE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aducă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bonuri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fiscale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decontarea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TSG.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noutăți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despre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programul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național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Fiecare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Copil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implementarea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pachetului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legislativ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invităm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consultați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hyperlink r:id="rId12" w:tgtFrame="_blank" w:history="1">
                                <w:r w:rsidRPr="005B3400">
                                  <w:rPr>
                                    <w:rFonts w:ascii="Palatino Linotype" w:eastAsia="Times New Roman" w:hAnsi="Palatino Linotype" w:cs="Arial"/>
                                    <w:color w:val="0000FF"/>
                                    <w:sz w:val="24"/>
                                    <w:szCs w:val="24"/>
                                    <w:u w:val="single"/>
                                  </w:rPr>
                                  <w:t>www.fiecarecopilingradinita.ro</w:t>
                                </w:r>
                              </w:hyperlink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Dacă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mai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aveți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întrebări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, ne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puteți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suna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la 021 315 88 06.</w:t>
                              </w:r>
                            </w:p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00A3CC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0000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85725"/>
                                    <wp:effectExtent l="19050" t="0" r="0" b="0"/>
                                    <wp:docPr id="9" name="yui_3_16_0_ym19_1_1463482746338_2499" descr="https://imgssl.constantcontact.com/letters/images/1101116784221/PM_GMIP_BarTopShadow.pn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63482746338_2499" descr="https://imgssl.constantcontact.com/letters/images/1101116784221/PM_GMIP_BarTopShadow.pn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jc w:val="center"/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Educația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copiii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săraci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are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încă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un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aliat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 xml:space="preserve">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Guvern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FFFFFF"/>
                                  <w:sz w:val="36"/>
                                  <w:szCs w:val="36"/>
                                </w:rPr>
                                <w:t>!</w:t>
                              </w: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00A3CC"/>
                              <w:vAlign w:val="bottom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FFFFFF"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>
                                    <wp:extent cx="6477000" cy="85725"/>
                                    <wp:effectExtent l="19050" t="0" r="0" b="0"/>
                                    <wp:docPr id="10" name="yui_3_16_0_ym19_1_1463482746338_2488" descr="https://imgssl.constantcontact.com/letters/images/1101116784221/PM_GMIP_BarBottomShadow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yui_3_16_0_ym19_1_1463482746338_2488" descr="https://imgssl.constantcontact.com/letters/images/1101116784221/PM_GMIP_BarBottomShadow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0" cy="85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</w:rPr>
                        </w:pPr>
                      </w:p>
                      <w:tbl>
                        <w:tblPr>
                          <w:tblW w:w="5000" w:type="pct"/>
                          <w:jc w:val="center"/>
                          <w:tblCellSpacing w:w="0" w:type="dxa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360"/>
                        </w:tblGrid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15" w:lineRule="atLeast"/>
                                <w:jc w:val="both"/>
                                <w:rPr>
                                  <w:rFonts w:ascii="Arial" w:eastAsia="Times New Roman" w:hAnsi="Arial" w:cs="Arial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5B3400" w:rsidRPr="005B3400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60" w:type="dxa"/>
                                <w:left w:w="285" w:type="dxa"/>
                                <w:bottom w:w="75" w:type="dxa"/>
                                <w:right w:w="285" w:type="dxa"/>
                              </w:tcMar>
                              <w:hideMark/>
                            </w:tcPr>
                            <w:p w:rsidR="005B3400" w:rsidRPr="005B3400" w:rsidRDefault="005B3400" w:rsidP="005B3400">
                              <w:pPr>
                                <w:spacing w:after="0" w:line="240" w:lineRule="auto"/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</w:pPr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Maria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Gheorghiu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-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cofondator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OvidiuRo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- 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fost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numită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Consilier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Stat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Cancelaria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Prim-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Ministrului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Cioloș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se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va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ocupa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principal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promovarea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operaționalizarea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celor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47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măsuri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din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Pachetul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național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anti-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sărăcie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. Maria 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fost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omul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cheie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campania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advocacy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pentru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nr. 248/2015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dezvoltarea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pachetului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legislativ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care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stimulează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participarea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învățământul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preșcolar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copiilor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provenind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din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familii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defavorizate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și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astfel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extinderea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programului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Fiecare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Copil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în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b/>
                                  <w:bCs/>
                                  <w:color w:val="134160"/>
                                  <w:sz w:val="24"/>
                                  <w:szCs w:val="24"/>
                                </w:rPr>
                                <w:t>Grădiniță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faza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pilot, cu 2.500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beneficiari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, la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statutul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de program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interes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național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cu 110.000 de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potențiali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beneficiari</w:t>
                              </w:r>
                              <w:proofErr w:type="spellEnd"/>
                              <w:r w:rsidRPr="005B3400">
                                <w:rPr>
                                  <w:rFonts w:ascii="Palatino Linotype" w:eastAsia="Times New Roman" w:hAnsi="Palatino Linotype" w:cs="Arial"/>
                                  <w:color w:val="134160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</w:tr>
                      </w:tbl>
                      <w:p w:rsidR="005B3400" w:rsidRPr="005B3400" w:rsidRDefault="005B3400" w:rsidP="005B34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B3400" w:rsidRPr="005B3400" w:rsidRDefault="005B3400" w:rsidP="005B34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B3400" w:rsidRPr="005B3400" w:rsidRDefault="005B3400" w:rsidP="005B3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A2676" w:rsidRDefault="001A2676"/>
    <w:sectPr w:rsidR="001A2676" w:rsidSect="001A2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400"/>
    <w:rsid w:val="001A2676"/>
    <w:rsid w:val="005B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76"/>
  </w:style>
  <w:style w:type="paragraph" w:styleId="Heading3">
    <w:name w:val="heading 3"/>
    <w:basedOn w:val="Normal"/>
    <w:link w:val="Heading3Char"/>
    <w:uiPriority w:val="9"/>
    <w:qFormat/>
    <w:rsid w:val="005B34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340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read-subject">
    <w:name w:val="thread-subject"/>
    <w:basedOn w:val="DefaultParagraphFont"/>
    <w:rsid w:val="005B3400"/>
  </w:style>
  <w:style w:type="character" w:styleId="Hyperlink">
    <w:name w:val="Hyperlink"/>
    <w:basedOn w:val="DefaultParagraphFont"/>
    <w:uiPriority w:val="99"/>
    <w:semiHidden/>
    <w:unhideWhenUsed/>
    <w:rsid w:val="005B3400"/>
    <w:rPr>
      <w:color w:val="0000FF"/>
      <w:u w:val="single"/>
    </w:rPr>
  </w:style>
  <w:style w:type="character" w:customStyle="1" w:styleId="from">
    <w:name w:val="from"/>
    <w:basedOn w:val="DefaultParagraphFont"/>
    <w:rsid w:val="005B3400"/>
  </w:style>
  <w:style w:type="character" w:customStyle="1" w:styleId="to">
    <w:name w:val="to"/>
    <w:basedOn w:val="DefaultParagraphFont"/>
    <w:rsid w:val="005B3400"/>
  </w:style>
  <w:style w:type="character" w:customStyle="1" w:styleId="lozengfy">
    <w:name w:val="lozengfy"/>
    <w:basedOn w:val="DefaultParagraphFont"/>
    <w:rsid w:val="005B3400"/>
  </w:style>
  <w:style w:type="character" w:customStyle="1" w:styleId="thread-date">
    <w:name w:val="thread-date"/>
    <w:basedOn w:val="DefaultParagraphFont"/>
    <w:rsid w:val="005B3400"/>
  </w:style>
  <w:style w:type="character" w:customStyle="1" w:styleId="short">
    <w:name w:val="short"/>
    <w:basedOn w:val="DefaultParagraphFont"/>
    <w:rsid w:val="005B3400"/>
  </w:style>
  <w:style w:type="character" w:customStyle="1" w:styleId="ampm">
    <w:name w:val="ampm"/>
    <w:basedOn w:val="DefaultParagraphFont"/>
    <w:rsid w:val="005B3400"/>
  </w:style>
  <w:style w:type="character" w:styleId="Strong">
    <w:name w:val="Strong"/>
    <w:basedOn w:val="DefaultParagraphFont"/>
    <w:uiPriority w:val="22"/>
    <w:qFormat/>
    <w:rsid w:val="005B34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4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7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172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1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96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52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86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40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20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75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56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213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230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382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090841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5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92408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24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156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9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346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2777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566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2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806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19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6228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52526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4479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10782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047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855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417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689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1545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857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259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424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878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1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794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03995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19823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7511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846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673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56698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3231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15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60170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135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f=001bfeHsRmuYBo81VHAUsuJ0wklYHjjAkPgAUqcr5xw-PykJQ5-WT11r-_qKx7BvJiK8ia2u7R4uGhHQ5InZagxNOK7L9MH98Um3r-Js1TKi0pcrbHaEO_PsWpxZ1wkG_VeI3UnHIJRYkmUxiDhzz23NjEi8rRdkogH&amp;c=FqK2Dcd7J8u8liybHJH_ApwXKNEdJcgxxQZogcXEK3FdCwpFILgknw==&amp;ch=Ejxet4jOYFBYLBgaudX-SwYGRjAQ8Hc7PgRdgwTs7HZDFiXJMsJfEQ==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hyperlink" Target="http://r20.rs6.net/tn.jsp?f=001bfeHsRmuYBo81VHAUsuJ0wklYHjjAkPgAUqcr5xw-PykJQ5-WT11r1XPqhi04szg_fIzAGnp8qEOOLPL_qtp3e6h-zhO98-bcM74ruAHXmXrYpBpTL0dyj86-784oKTgd3WQn5lm1tos_YocZruuaKqgyUV9CTn7bRXuxv_FnLRN2d-ct7HM4-QwgzX_qzvM&amp;c=FqK2Dcd7J8u8liybHJH_ApwXKNEdJcgxxQZogcXEK3FdCwpFILgknw==&amp;ch=Ejxet4jOYFBYLBgaudX-SwYGRjAQ8Hc7PgRdgwTs7HZDFiXJMsJfEQ=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hyperlink" Target="http://r20.rs6.net/tn.jsp?f=001bfeHsRmuYBo81VHAUsuJ0wklYHjjAkPgAUqcr5xw-PykJQ5-WT11r-jX_TtbT6gbimu_vmEsnTo5EdmPdzLxPd4Mx5cJNgfgPwBc0zhqhqe4yh6oLwOJGKPnX1UqCC8aj30LHq3CSTbNASeliipgLd7wB_j9TG-lnSXqgykNtfXmoa_9QBlDFIcLo8NJszoXsm3-A8nLvOM=&amp;c=FqK2Dcd7J8u8liybHJH_ApwXKNEdJcgxxQZogcXEK3FdCwpFILgknw==&amp;ch=Ejxet4jOYFBYLBgaudX-SwYGRjAQ8Hc7PgRdgwTs7HZDFiXJMsJfEQ==" TargetMode="External"/><Relationship Id="rId10" Type="http://schemas.openxmlformats.org/officeDocument/2006/relationships/image" Target="media/image5.png"/><Relationship Id="rId4" Type="http://schemas.openxmlformats.org/officeDocument/2006/relationships/image" Target="media/image1.gif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2016-05-17T11:00:00Z</dcterms:created>
  <dcterms:modified xsi:type="dcterms:W3CDTF">2016-05-17T11:06:00Z</dcterms:modified>
</cp:coreProperties>
</file>