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6DDE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4823"/>
        <w:gridCol w:w="2662"/>
      </w:tblGrid>
      <w:tr w14:paraId="5F93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6DDE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952" w:type="dxa"/>
            <w:gridSpan w:val="3"/>
            <w:shd w:val="clear" w:color="auto" w:fill="B6DDE8"/>
            <w:noWrap w:val="0"/>
            <w:vAlign w:val="top"/>
          </w:tcPr>
          <w:p w14:paraId="13A67847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 xml:space="preserve">COMPARTIMENTUL CURRICULUM </w:t>
            </w:r>
          </w:p>
        </w:tc>
      </w:tr>
      <w:tr w14:paraId="720B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6DDE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952" w:type="dxa"/>
            <w:gridSpan w:val="3"/>
            <w:shd w:val="clear" w:color="auto" w:fill="B6DDE8"/>
            <w:noWrap w:val="0"/>
            <w:vAlign w:val="top"/>
          </w:tcPr>
          <w:p w14:paraId="51964FD3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FIŞĂ DE AVIZAREA PROIECTULUI DE PROGRAMĂ DE OPȚIONAL</w:t>
            </w:r>
          </w:p>
          <w:p w14:paraId="289607BB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An școlar 2025-2026</w:t>
            </w:r>
          </w:p>
        </w:tc>
      </w:tr>
      <w:tr w14:paraId="3309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5F69B3A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Unitatea de învăţământ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250D1C7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restart"/>
            <w:shd w:val="clear" w:color="auto" w:fill="auto"/>
            <w:noWrap w:val="0"/>
            <w:vAlign w:val="top"/>
          </w:tcPr>
          <w:p w14:paraId="3B5951A0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AVIZ DE SPECIALITATE</w:t>
            </w:r>
          </w:p>
          <w:p w14:paraId="43BB4D4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Inspectoratul Școlar Județean Bacău</w:t>
            </w:r>
          </w:p>
          <w:p w14:paraId="2F1C2A58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  <w:p w14:paraId="609FC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 xml:space="preserve">Inspector școlar </w:t>
            </w:r>
          </w:p>
          <w:p w14:paraId="6F5629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 xml:space="preserve">prof. </w:t>
            </w:r>
          </w:p>
          <w:p w14:paraId="3530A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Semnătură</w:t>
            </w:r>
          </w:p>
          <w:p w14:paraId="6754E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Arial"/>
                <w:lang w:eastAsia="ro-RO" w:bidi="ro-RO"/>
              </w:rPr>
            </w:pPr>
          </w:p>
          <w:p w14:paraId="054B036A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  <w:p w14:paraId="78D4E51C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  <w:p w14:paraId="2203910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Semnătura propunător</w:t>
            </w:r>
          </w:p>
        </w:tc>
      </w:tr>
      <w:tr w14:paraId="31A9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2FC280FA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Denumirea opționalului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1304593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3F8D4885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3F11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5EB831C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Tipul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7A1506D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61C5CA3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69C3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55265E88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Clasa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27658CED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6F0D507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2266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7D5B0AF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 xml:space="preserve">Durata 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5AE4E5F2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1 an școlar</w:t>
            </w: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61971F9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4B33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76F6C77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Număr ore pe săptămână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78BF7003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1 oră</w:t>
            </w: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6007DB72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55FC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02E8629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Anul școlar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15FBF733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2025-2026</w:t>
            </w:r>
          </w:p>
          <w:p w14:paraId="79D90F1E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00B31872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567B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467" w:type="dxa"/>
            <w:shd w:val="clear" w:color="auto" w:fill="auto"/>
            <w:noWrap w:val="0"/>
            <w:vAlign w:val="top"/>
          </w:tcPr>
          <w:p w14:paraId="2CE40B25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Profesor</w:t>
            </w:r>
            <w:r>
              <w:rPr>
                <w:rFonts w:hint="default" w:ascii="Times New Roman" w:hAnsi="Times New Roman" w:eastAsia="Arial"/>
                <w:b/>
                <w:lang w:val="en-US" w:eastAsia="ro-RO" w:bidi="ro-RO"/>
              </w:rPr>
              <w:t xml:space="preserve"> </w:t>
            </w:r>
            <w:r>
              <w:rPr>
                <w:rFonts w:ascii="Times New Roman" w:hAnsi="Times New Roman" w:eastAsia="Arial"/>
                <w:b/>
                <w:lang w:eastAsia="ro-RO" w:bidi="ro-RO"/>
              </w:rPr>
              <w:t>propunător</w:t>
            </w:r>
            <w:bookmarkStart w:id="0" w:name="_GoBack"/>
            <w:bookmarkEnd w:id="0"/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275B576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662" w:type="dxa"/>
            <w:vMerge w:val="continue"/>
            <w:shd w:val="clear" w:color="auto" w:fill="auto"/>
            <w:noWrap w:val="0"/>
            <w:vAlign w:val="top"/>
          </w:tcPr>
          <w:p w14:paraId="2366F405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</w:tbl>
    <w:p w14:paraId="075B55BE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hAnsi="Times New Roman" w:eastAsia="Arial"/>
          <w:lang w:eastAsia="ro-RO" w:bidi="ro-RO"/>
        </w:rPr>
      </w:pPr>
    </w:p>
    <w:tbl>
      <w:tblPr>
        <w:tblStyle w:val="3"/>
        <w:tblpPr w:leftFromText="180" w:rightFromText="180" w:vertAnchor="text" w:tblpX="108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1134"/>
        <w:gridCol w:w="1106"/>
        <w:gridCol w:w="2013"/>
      </w:tblGrid>
      <w:tr w14:paraId="61E1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0FBD520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  <w:noWrap w:val="0"/>
            <w:vAlign w:val="top"/>
          </w:tcPr>
          <w:p w14:paraId="1C174D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Se bifează</w:t>
            </w:r>
          </w:p>
        </w:tc>
      </w:tr>
      <w:tr w14:paraId="1E1C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354779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noWrap w:val="0"/>
            <w:vAlign w:val="center"/>
          </w:tcPr>
          <w:p w14:paraId="04BE34A8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noWrap w:val="0"/>
            <w:vAlign w:val="center"/>
          </w:tcPr>
          <w:p w14:paraId="75C968DB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Nu</w:t>
            </w:r>
          </w:p>
        </w:tc>
      </w:tr>
      <w:tr w14:paraId="11FC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5BC1CED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35201220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7B774DF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25613E0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7E63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5464457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2D9295AB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38AAA86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25A528DD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77246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7B6817C1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 xml:space="preserve">II. </w:t>
            </w:r>
            <w:r>
              <w:rPr>
                <w:rFonts w:ascii="Times New Roman" w:hAnsi="Times New Roman" w:eastAsia="Arial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8F8DDF7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 w14:paraId="13656843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Nu</w:t>
            </w:r>
          </w:p>
        </w:tc>
        <w:tc>
          <w:tcPr>
            <w:tcW w:w="2013" w:type="dxa"/>
            <w:shd w:val="clear" w:color="auto" w:fill="auto"/>
            <w:noWrap w:val="0"/>
            <w:vAlign w:val="center"/>
          </w:tcPr>
          <w:p w14:paraId="4B476178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b/>
                <w:lang w:eastAsia="ro-RO" w:bidi="ro-RO"/>
              </w:rPr>
            </w:pPr>
            <w:r>
              <w:rPr>
                <w:rFonts w:ascii="Times New Roman" w:hAnsi="Times New Roman" w:eastAsia="Arial"/>
                <w:b/>
                <w:lang w:eastAsia="ro-RO" w:bidi="ro-RO"/>
              </w:rPr>
              <w:t>Da, cu recomandari</w:t>
            </w:r>
          </w:p>
        </w:tc>
      </w:tr>
      <w:tr w14:paraId="52FE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5A4F7AB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2CF6E29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02139AA2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63951D2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1AE1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5265389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DFDDF66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4A1BDAE9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627E724E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32C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32AB6C1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5FF9B5E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21525DF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4B6EAB51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6F20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37B2635A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22D11AE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05F153D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7795D05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199B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7B69FBC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320916B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5EC336F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29901ADE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7232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345817BB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6510705C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43D82DC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59BEF068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7CF9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24760CF6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21237D35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3DB5EA7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29338982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1F90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5665" w:type="dxa"/>
            <w:shd w:val="clear" w:color="auto" w:fill="auto"/>
            <w:noWrap w:val="0"/>
            <w:vAlign w:val="top"/>
          </w:tcPr>
          <w:p w14:paraId="1AA36859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 w14:paraId="596B5D4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x</w:t>
            </w:r>
          </w:p>
        </w:tc>
        <w:tc>
          <w:tcPr>
            <w:tcW w:w="1106" w:type="dxa"/>
            <w:shd w:val="clear" w:color="auto" w:fill="auto"/>
            <w:noWrap w:val="0"/>
            <w:vAlign w:val="top"/>
          </w:tcPr>
          <w:p w14:paraId="1DFB0D27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0BFD45D0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  <w:tr w14:paraId="4A23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7905" w:type="dxa"/>
            <w:gridSpan w:val="3"/>
            <w:shd w:val="clear" w:color="auto" w:fill="auto"/>
            <w:noWrap w:val="0"/>
            <w:vAlign w:val="top"/>
          </w:tcPr>
          <w:p w14:paraId="2E6C5B47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  <w:p w14:paraId="1CE13DB3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Avizul conducerii școlii</w:t>
            </w:r>
          </w:p>
          <w:p w14:paraId="54270D6B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Director,</w:t>
            </w:r>
          </w:p>
          <w:p w14:paraId="7949C665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 xml:space="preserve">prof. </w:t>
            </w:r>
          </w:p>
        </w:tc>
        <w:tc>
          <w:tcPr>
            <w:tcW w:w="2013" w:type="dxa"/>
            <w:shd w:val="clear" w:color="auto" w:fill="auto"/>
            <w:noWrap w:val="0"/>
            <w:vAlign w:val="top"/>
          </w:tcPr>
          <w:p w14:paraId="6A86C316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>Responsabil curriculum,</w:t>
            </w:r>
          </w:p>
          <w:p w14:paraId="216F2771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  <w:r>
              <w:rPr>
                <w:rFonts w:ascii="Times New Roman" w:hAnsi="Times New Roman" w:eastAsia="Arial"/>
                <w:lang w:eastAsia="ro-RO" w:bidi="ro-RO"/>
              </w:rPr>
              <w:t xml:space="preserve">prof. </w:t>
            </w:r>
          </w:p>
          <w:p w14:paraId="154E43C2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hAnsi="Times New Roman" w:eastAsia="Arial"/>
                <w:lang w:eastAsia="ro-RO" w:bidi="ro-RO"/>
              </w:rPr>
            </w:pPr>
          </w:p>
        </w:tc>
      </w:tr>
    </w:tbl>
    <w:p w14:paraId="0A2C85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/>
        </w:rPr>
      </w:pPr>
      <w:r>
        <w:rPr>
          <w:rFonts w:ascii="Times New Roman" w:hAnsi="Times New Roman" w:eastAsia="Arial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>
      <w:headerReference r:id="rId5" w:type="default"/>
      <w:footerReference r:id="rId6" w:type="default"/>
      <w:pgSz w:w="11906" w:h="16838"/>
      <w:pgMar w:top="864" w:right="562" w:bottom="1152" w:left="1411" w:header="28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6A35">
    <w:pPr>
      <w:pStyle w:val="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14CB">
    <w:pPr>
      <w:pStyle w:val="7"/>
      <w:jc w:val="center"/>
    </w:pPr>
    <w:r>
      <w:rPr>
        <w:lang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-260985</wp:posOffset>
          </wp:positionH>
          <wp:positionV relativeFrom="paragraph">
            <wp:posOffset>635</wp:posOffset>
          </wp:positionV>
          <wp:extent cx="1257300" cy="355600"/>
          <wp:effectExtent l="0" t="0" r="7620" b="1016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</w:t>
    </w:r>
    <w:r>
      <w:rPr>
        <w:lang/>
      </w:rPr>
      <w:drawing>
        <wp:inline distT="0" distB="0" distL="114300" distR="114300">
          <wp:extent cx="2314575" cy="398145"/>
          <wp:effectExtent l="0" t="0" r="1905" b="13335"/>
          <wp:docPr id="2" name="Picture 2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casă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1457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F5801"/>
    <w:multiLevelType w:val="multilevel"/>
    <w:tmpl w:val="3CEF58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B62981"/>
    <w:multiLevelType w:val="multilevel"/>
    <w:tmpl w:val="74B62981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BF"/>
    <w:rsid w:val="00070A9D"/>
    <w:rsid w:val="0007797F"/>
    <w:rsid w:val="001A0BAE"/>
    <w:rsid w:val="001B7845"/>
    <w:rsid w:val="001D3123"/>
    <w:rsid w:val="0021197F"/>
    <w:rsid w:val="002230E6"/>
    <w:rsid w:val="00360501"/>
    <w:rsid w:val="003A75C6"/>
    <w:rsid w:val="003D6FB2"/>
    <w:rsid w:val="003F5332"/>
    <w:rsid w:val="00422420"/>
    <w:rsid w:val="0047407F"/>
    <w:rsid w:val="004840BF"/>
    <w:rsid w:val="004A50C0"/>
    <w:rsid w:val="00513655"/>
    <w:rsid w:val="006319F6"/>
    <w:rsid w:val="00642AD0"/>
    <w:rsid w:val="006E2ED7"/>
    <w:rsid w:val="00731E31"/>
    <w:rsid w:val="007827DF"/>
    <w:rsid w:val="007F1922"/>
    <w:rsid w:val="008D321D"/>
    <w:rsid w:val="008D6C93"/>
    <w:rsid w:val="008E5DFE"/>
    <w:rsid w:val="00941935"/>
    <w:rsid w:val="009A40A3"/>
    <w:rsid w:val="00A05F30"/>
    <w:rsid w:val="00A20593"/>
    <w:rsid w:val="00A5432E"/>
    <w:rsid w:val="00A8459D"/>
    <w:rsid w:val="00A8663B"/>
    <w:rsid w:val="00AC229A"/>
    <w:rsid w:val="00B27DBA"/>
    <w:rsid w:val="00D36FCF"/>
    <w:rsid w:val="00D66B77"/>
    <w:rsid w:val="00D8730D"/>
    <w:rsid w:val="00EE634D"/>
    <w:rsid w:val="00EF7314"/>
    <w:rsid w:val="00F223FC"/>
    <w:rsid w:val="00F5327B"/>
    <w:rsid w:val="00FA2F40"/>
    <w:rsid w:val="00FB7F93"/>
    <w:rsid w:val="00FC2FE9"/>
    <w:rsid w:val="1EAF7AEF"/>
    <w:rsid w:val="20DB0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qFormat/>
    <w:uiPriority w:val="0"/>
    <w:rPr>
      <w:i/>
      <w:iCs/>
    </w:rPr>
  </w:style>
  <w:style w:type="paragraph" w:styleId="6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8">
    <w:name w:val="Header Char"/>
    <w:basedOn w:val="2"/>
    <w:link w:val="7"/>
    <w:uiPriority w:val="99"/>
  </w:style>
  <w:style w:type="character" w:customStyle="1" w:styleId="9">
    <w:name w:val="Footer Char"/>
    <w:basedOn w:val="2"/>
    <w:link w:val="6"/>
    <w:uiPriority w:val="99"/>
  </w:style>
  <w:style w:type="character" w:customStyle="1" w:styleId="10">
    <w:name w:val="Balloon Text Char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1688</Characters>
  <Lines>14</Lines>
  <Paragraphs>3</Paragraphs>
  <TotalTime>0</TotalTime>
  <ScaleCrop>false</ScaleCrop>
  <LinksUpToDate>false</LinksUpToDate>
  <CharactersWithSpaces>1975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2025-01-16T05:25:00Z</dcterms:created>
  <dc:creator>Daniela Mocondoi</dc:creator>
  <cp:lastModifiedBy>User</cp:lastModifiedBy>
  <dcterms:modified xsi:type="dcterms:W3CDTF">2025-06-11T07:31:39Z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8AF66C4A5FF147278EFF2F81650B10AC_13</vt:lpwstr>
  </property>
</Properties>
</file>