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E7" w:rsidRPr="007F0CD0" w:rsidRDefault="001F67E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t>MINISTERUL EDUCAŢIEI ȘI CERCETĂRII ŞTIINȚIFICE</w:t>
      </w:r>
    </w:p>
    <w:p w:rsidR="001F67E7" w:rsidRPr="007F0CD0" w:rsidRDefault="001F67E7" w:rsidP="007F0CD0">
      <w:pPr>
        <w:pStyle w:val="Heading1"/>
        <w:spacing w:before="0" w:beforeAutospacing="0" w:after="0" w:afterAutospacing="0"/>
        <w:jc w:val="center"/>
        <w:rPr>
          <w:bCs w:val="0"/>
          <w:sz w:val="20"/>
          <w:szCs w:val="20"/>
        </w:rPr>
      </w:pPr>
    </w:p>
    <w:p w:rsidR="001F67E7" w:rsidRPr="007F0CD0" w:rsidRDefault="001F67E7" w:rsidP="007F0CD0">
      <w:pPr>
        <w:pStyle w:val="Heading1"/>
        <w:spacing w:before="0" w:beforeAutospacing="0" w:after="0" w:afterAutospacing="0"/>
        <w:jc w:val="center"/>
        <w:rPr>
          <w:bCs w:val="0"/>
          <w:sz w:val="20"/>
          <w:szCs w:val="20"/>
        </w:rPr>
      </w:pP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p>
    <w:p w:rsidR="001F67E7" w:rsidRDefault="001F67E7"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Default="007F0CD0" w:rsidP="007F0CD0">
      <w:pPr>
        <w:spacing w:after="0" w:line="240" w:lineRule="auto"/>
        <w:rPr>
          <w:rFonts w:ascii="Times New Roman" w:hAnsi="Times New Roman"/>
          <w:b/>
          <w:sz w:val="20"/>
          <w:szCs w:val="20"/>
        </w:rPr>
      </w:pPr>
    </w:p>
    <w:p w:rsidR="007F0CD0" w:rsidRPr="007F0CD0" w:rsidRDefault="007F0CD0" w:rsidP="007F0CD0">
      <w:pPr>
        <w:spacing w:after="0" w:line="240" w:lineRule="auto"/>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pStyle w:val="Heading1"/>
        <w:spacing w:before="0" w:beforeAutospacing="0" w:after="0" w:afterAutospacing="0"/>
        <w:jc w:val="center"/>
        <w:rPr>
          <w:bCs w:val="0"/>
          <w:sz w:val="20"/>
          <w:szCs w:val="20"/>
        </w:rPr>
      </w:pPr>
    </w:p>
    <w:p w:rsidR="001F67E7" w:rsidRPr="007F0CD0" w:rsidRDefault="001F67E7" w:rsidP="007F0CD0">
      <w:pPr>
        <w:pStyle w:val="Heading1"/>
        <w:spacing w:before="0" w:beforeAutospacing="0" w:after="0" w:afterAutospacing="0"/>
        <w:jc w:val="center"/>
        <w:rPr>
          <w:bCs w:val="0"/>
          <w:sz w:val="20"/>
          <w:szCs w:val="20"/>
        </w:rPr>
      </w:pPr>
      <w:r w:rsidRPr="007F0CD0">
        <w:rPr>
          <w:bCs w:val="0"/>
          <w:sz w:val="20"/>
          <w:szCs w:val="20"/>
        </w:rPr>
        <w:t>P R O G R A M A</w:t>
      </w: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t xml:space="preserve">PENTRU  EXAMENUL </w:t>
      </w:r>
      <w:r w:rsidR="0041666E" w:rsidRPr="007F0CD0">
        <w:rPr>
          <w:rFonts w:ascii="Times New Roman" w:hAnsi="Times New Roman"/>
          <w:b/>
          <w:sz w:val="20"/>
          <w:szCs w:val="20"/>
        </w:rPr>
        <w:t xml:space="preserve">NAȚIONAL </w:t>
      </w:r>
      <w:r w:rsidRPr="007F0CD0">
        <w:rPr>
          <w:rFonts w:ascii="Times New Roman" w:hAnsi="Times New Roman"/>
          <w:b/>
          <w:sz w:val="20"/>
          <w:szCs w:val="20"/>
        </w:rPr>
        <w:t xml:space="preserve">DE </w:t>
      </w:r>
      <w:r w:rsidRPr="007F0CD0">
        <w:rPr>
          <w:rFonts w:ascii="Times New Roman" w:hAnsi="Times New Roman"/>
          <w:b/>
          <w:bCs/>
          <w:sz w:val="20"/>
          <w:szCs w:val="20"/>
        </w:rPr>
        <w:t>DEFINITIVARE</w:t>
      </w:r>
      <w:r w:rsidRPr="007F0CD0">
        <w:rPr>
          <w:rFonts w:ascii="Times New Roman" w:hAnsi="Times New Roman"/>
          <w:b/>
          <w:sz w:val="20"/>
          <w:szCs w:val="20"/>
        </w:rPr>
        <w:t xml:space="preserve"> ÎN ÎNVĂŢĂMÂNT</w:t>
      </w: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t>PROFESORI</w:t>
      </w: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1F67E7" w:rsidRPr="007F0CD0" w:rsidRDefault="0041666E" w:rsidP="007F0CD0">
      <w:pPr>
        <w:pStyle w:val="Title"/>
      </w:pPr>
      <w:r w:rsidRPr="007F0CD0">
        <w:t>DISCIPLINA DE EXAMEN:</w:t>
      </w:r>
      <w:r w:rsidR="001F67E7" w:rsidRPr="007F0CD0">
        <w:t xml:space="preserve"> </w:t>
      </w:r>
    </w:p>
    <w:p w:rsidR="001F67E7" w:rsidRPr="007F0CD0" w:rsidRDefault="001F67E7" w:rsidP="007F0CD0">
      <w:pPr>
        <w:pStyle w:val="Title"/>
      </w:pPr>
      <w:r w:rsidRPr="007F0CD0">
        <w:t xml:space="preserve">ECONOMIC, ADMINISTRATIV, POȘTĂ </w:t>
      </w:r>
    </w:p>
    <w:p w:rsidR="001F67E7" w:rsidRPr="007F0CD0" w:rsidRDefault="001F67E7" w:rsidP="007F0CD0">
      <w:pPr>
        <w:pStyle w:val="Title"/>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41666E" w:rsidRPr="007F0CD0" w:rsidRDefault="0041666E"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t>2015</w:t>
      </w: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7F0CD0" w:rsidRDefault="007F0CD0" w:rsidP="007F0CD0">
      <w:pPr>
        <w:spacing w:after="0" w:line="240" w:lineRule="auto"/>
        <w:jc w:val="center"/>
        <w:rPr>
          <w:rFonts w:ascii="Times New Roman" w:hAnsi="Times New Roman"/>
          <w:b/>
          <w:sz w:val="20"/>
          <w:szCs w:val="20"/>
        </w:rPr>
      </w:pPr>
    </w:p>
    <w:p w:rsidR="001F67E7" w:rsidRPr="007F0CD0" w:rsidRDefault="001F67E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lastRenderedPageBreak/>
        <w:t>1. PREZENTARE. COMPETENȚE GENERALE</w:t>
      </w: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spacing w:after="0" w:line="240" w:lineRule="auto"/>
        <w:rPr>
          <w:rFonts w:ascii="Times New Roman" w:hAnsi="Times New Roman"/>
          <w:b/>
          <w:sz w:val="20"/>
          <w:szCs w:val="20"/>
        </w:rPr>
      </w:pPr>
      <w:r w:rsidRPr="007F0CD0">
        <w:rPr>
          <w:rFonts w:ascii="Times New Roman" w:hAnsi="Times New Roman"/>
          <w:b/>
          <w:sz w:val="20"/>
          <w:szCs w:val="20"/>
        </w:rPr>
        <w:t>PREZENTARE</w:t>
      </w:r>
    </w:p>
    <w:p w:rsidR="001F67E7" w:rsidRPr="007F0CD0" w:rsidRDefault="001F67E7" w:rsidP="007F0CD0">
      <w:pPr>
        <w:spacing w:after="0" w:line="240" w:lineRule="auto"/>
        <w:rPr>
          <w:rFonts w:ascii="Times New Roman" w:hAnsi="Times New Roman"/>
          <w:b/>
          <w:sz w:val="20"/>
          <w:szCs w:val="20"/>
        </w:rPr>
      </w:pP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7F0CD0">
        <w:rPr>
          <w:rFonts w:ascii="Times New Roman" w:hAnsi="Times New Roman"/>
          <w:b/>
          <w:bCs/>
          <w:sz w:val="20"/>
          <w:szCs w:val="20"/>
        </w:rPr>
        <w:t xml:space="preserve">Programa pentru examenul de definitivare în învăţământ </w:t>
      </w:r>
      <w:r w:rsidRPr="007F0CD0">
        <w:rPr>
          <w:rFonts w:ascii="Times New Roman" w:hAnsi="Times New Roman"/>
          <w:sz w:val="20"/>
          <w:szCs w:val="20"/>
        </w:rPr>
        <w:t>reprezintă documentul</w:t>
      </w:r>
      <w:r w:rsidRPr="007F0CD0">
        <w:rPr>
          <w:rFonts w:ascii="Times New Roman" w:hAnsi="Times New Roman"/>
          <w:b/>
          <w:bCs/>
          <w:sz w:val="20"/>
          <w:szCs w:val="20"/>
        </w:rPr>
        <w:t xml:space="preserve"> </w:t>
      </w:r>
      <w:r w:rsidRPr="007F0CD0">
        <w:rPr>
          <w:rFonts w:ascii="Times New Roman" w:hAnsi="Times New Roman"/>
          <w:sz w:val="20"/>
          <w:szCs w:val="20"/>
        </w:rPr>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7F0CD0">
        <w:rPr>
          <w:rFonts w:ascii="Times New Roman" w:hAnsi="Times New Roman"/>
          <w:sz w:val="20"/>
          <w:szCs w:val="20"/>
        </w:rPr>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1F67E7" w:rsidRPr="007F0CD0" w:rsidRDefault="001F67E7" w:rsidP="007F0CD0">
      <w:pPr>
        <w:widowControl w:val="0"/>
        <w:overflowPunct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unitățile de competențe - cunoştinţele,  abilităţile,  valorile  şi atitudinile corespunzătoare standardelor  şi  statutului  asumat/jucat  de  cadrul  didactic în unitățile de învățământ preuniversitar din România.</w:t>
      </w: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7F0CD0">
        <w:rPr>
          <w:rFonts w:ascii="Times New Roman" w:hAnsi="Times New Roman"/>
          <w:sz w:val="20"/>
          <w:szCs w:val="20"/>
        </w:rPr>
        <w:t xml:space="preserve">În cadrul acestei programe, de importanţă majoră sunt acele componente care vor valoriza </w:t>
      </w:r>
      <w:r w:rsidRPr="007F0CD0">
        <w:rPr>
          <w:rFonts w:ascii="Times New Roman" w:hAnsi="Times New Roman"/>
          <w:b/>
          <w:bCs/>
          <w:sz w:val="20"/>
          <w:szCs w:val="20"/>
        </w:rPr>
        <w:t>rolul constructiv, coparticipativ al</w:t>
      </w:r>
      <w:r w:rsidRPr="007F0CD0">
        <w:rPr>
          <w:rFonts w:ascii="Times New Roman" w:hAnsi="Times New Roman"/>
          <w:sz w:val="20"/>
          <w:szCs w:val="20"/>
        </w:rPr>
        <w:t xml:space="preserve"> cadrului didactic în calitatea sa de actor cu statut de educator,</w:t>
      </w:r>
    </w:p>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bCs/>
          <w:sz w:val="20"/>
          <w:szCs w:val="20"/>
        </w:rPr>
        <w:t xml:space="preserve">de purtător al mesajelor ştiinţei devenite disciplină de învăţământ, de reprezentant al comunităţii profesorilor de specialitate instituţia şcolară şi substanţa  </w:t>
      </w:r>
      <w:r w:rsidRPr="007F0CD0">
        <w:rPr>
          <w:rFonts w:ascii="Times New Roman" w:hAnsi="Times New Roman"/>
          <w:b/>
          <w:sz w:val="20"/>
          <w:szCs w:val="20"/>
        </w:rPr>
        <w:t xml:space="preserve">competenţelor </w:t>
      </w:r>
      <w:r w:rsidRPr="007F0CD0">
        <w:rPr>
          <w:rFonts w:ascii="Times New Roman" w:hAnsi="Times New Roman"/>
          <w:b/>
          <w:bCs/>
          <w:sz w:val="20"/>
          <w:szCs w:val="20"/>
        </w:rPr>
        <w:t xml:space="preserve">dobândite </w:t>
      </w:r>
      <w:r w:rsidRPr="007F0CD0">
        <w:rPr>
          <w:rFonts w:ascii="Times New Roman" w:hAnsi="Times New Roman"/>
          <w:sz w:val="20"/>
          <w:szCs w:val="20"/>
        </w:rPr>
        <w:t>de acesta, în concordanţă cu motivaţia profesională, cu o serie de</w:t>
      </w:r>
      <w:r w:rsidRPr="007F0CD0">
        <w:rPr>
          <w:rFonts w:ascii="Times New Roman" w:hAnsi="Times New Roman"/>
          <w:b/>
          <w:bCs/>
          <w:sz w:val="20"/>
          <w:szCs w:val="20"/>
        </w:rPr>
        <w:t xml:space="preserve"> roluri specifice. </w:t>
      </w:r>
      <w:r w:rsidRPr="007F0CD0">
        <w:rPr>
          <w:rFonts w:ascii="Times New Roman" w:hAnsi="Times New Roman"/>
          <w:sz w:val="20"/>
          <w:szCs w:val="20"/>
        </w:rPr>
        <w:t>De</w:t>
      </w:r>
      <w:r w:rsidRPr="007F0CD0">
        <w:rPr>
          <w:rFonts w:ascii="Times New Roman" w:hAnsi="Times New Roman"/>
          <w:b/>
          <w:bCs/>
          <w:sz w:val="20"/>
          <w:szCs w:val="20"/>
        </w:rPr>
        <w:t xml:space="preserve"> </w:t>
      </w:r>
      <w:r w:rsidRPr="007F0CD0">
        <w:rPr>
          <w:rFonts w:ascii="Times New Roman" w:hAnsi="Times New Roman"/>
          <w:sz w:val="20"/>
          <w:szCs w:val="20"/>
        </w:rPr>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7F0CD0">
        <w:rPr>
          <w:rFonts w:ascii="Times New Roman" w:hAnsi="Times New Roman"/>
          <w:sz w:val="20"/>
          <w:szCs w:val="20"/>
        </w:rPr>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1F67E7" w:rsidRPr="007F0CD0" w:rsidRDefault="001F67E7" w:rsidP="007F0CD0">
      <w:pPr>
        <w:widowControl w:val="0"/>
        <w:autoSpaceDE w:val="0"/>
        <w:autoSpaceDN w:val="0"/>
        <w:adjustRightInd w:val="0"/>
        <w:spacing w:after="0" w:line="240" w:lineRule="auto"/>
        <w:ind w:firstLine="65"/>
        <w:jc w:val="both"/>
        <w:rPr>
          <w:rFonts w:ascii="Times New Roman" w:hAnsi="Times New Roman"/>
          <w:sz w:val="20"/>
          <w:szCs w:val="20"/>
        </w:rPr>
      </w:pPr>
      <w:r w:rsidRPr="007F0CD0">
        <w:rPr>
          <w:rFonts w:ascii="Times New Roman" w:hAnsi="Times New Roman"/>
          <w:sz w:val="20"/>
          <w:szCs w:val="20"/>
        </w:rPr>
        <w:t xml:space="preserve">          Tematica programei reflecta </w:t>
      </w:r>
      <w:r w:rsidRPr="007F0CD0">
        <w:rPr>
          <w:rFonts w:ascii="Times New Roman" w:hAnsi="Times New Roman"/>
          <w:b/>
          <w:bCs/>
          <w:sz w:val="20"/>
          <w:szCs w:val="20"/>
        </w:rPr>
        <w:t>ponderile</w:t>
      </w:r>
      <w:r w:rsidRPr="007F0CD0">
        <w:rPr>
          <w:rFonts w:ascii="Times New Roman" w:hAnsi="Times New Roman"/>
          <w:sz w:val="20"/>
          <w:szCs w:val="20"/>
        </w:rPr>
        <w:t>:</w:t>
      </w:r>
    </w:p>
    <w:p w:rsidR="001F67E7" w:rsidRPr="007F0CD0" w:rsidRDefault="001F67E7" w:rsidP="007F0CD0">
      <w:pPr>
        <w:widowControl w:val="0"/>
        <w:numPr>
          <w:ilvl w:val="0"/>
          <w:numId w:val="39"/>
        </w:numPr>
        <w:tabs>
          <w:tab w:val="left" w:pos="720"/>
          <w:tab w:val="num" w:pos="1080"/>
        </w:tabs>
        <w:overflowPunct w:val="0"/>
        <w:autoSpaceDE w:val="0"/>
        <w:autoSpaceDN w:val="0"/>
        <w:adjustRightInd w:val="0"/>
        <w:spacing w:after="0" w:line="240" w:lineRule="auto"/>
        <w:ind w:left="426" w:hanging="66"/>
        <w:jc w:val="both"/>
        <w:rPr>
          <w:rFonts w:ascii="Times New Roman" w:hAnsi="Times New Roman"/>
          <w:b/>
          <w:bCs/>
          <w:sz w:val="20"/>
          <w:szCs w:val="20"/>
        </w:rPr>
      </w:pPr>
      <w:r w:rsidRPr="007F0CD0">
        <w:rPr>
          <w:rFonts w:ascii="Times New Roman" w:hAnsi="Times New Roman"/>
          <w:sz w:val="20"/>
          <w:szCs w:val="20"/>
        </w:rPr>
        <w:t xml:space="preserve">conţinuturilor destinate pentru formarea competenţelor ştiinţifice (aprox.. 60%); </w:t>
      </w:r>
    </w:p>
    <w:p w:rsidR="001F67E7" w:rsidRPr="007F0CD0" w:rsidRDefault="001F67E7" w:rsidP="007F0CD0">
      <w:pPr>
        <w:widowControl w:val="0"/>
        <w:numPr>
          <w:ilvl w:val="0"/>
          <w:numId w:val="39"/>
        </w:numPr>
        <w:tabs>
          <w:tab w:val="left" w:pos="720"/>
          <w:tab w:val="num" w:pos="1080"/>
        </w:tabs>
        <w:overflowPunct w:val="0"/>
        <w:autoSpaceDE w:val="0"/>
        <w:autoSpaceDN w:val="0"/>
        <w:adjustRightInd w:val="0"/>
        <w:spacing w:after="0" w:line="240" w:lineRule="auto"/>
        <w:ind w:left="0" w:firstLine="360"/>
        <w:jc w:val="both"/>
        <w:rPr>
          <w:rFonts w:ascii="Times New Roman" w:hAnsi="Times New Roman"/>
          <w:b/>
          <w:bCs/>
          <w:sz w:val="20"/>
          <w:szCs w:val="20"/>
        </w:rPr>
      </w:pPr>
      <w:r w:rsidRPr="007F0CD0">
        <w:rPr>
          <w:rFonts w:ascii="Times New Roman" w:hAnsi="Times New Roman"/>
          <w:sz w:val="20"/>
          <w:szCs w:val="20"/>
        </w:rPr>
        <w:t xml:space="preserve">conţinuturilor destinate formării competenţelor didactice, încorporând metodica şi  aplicaţiile şcolare ale domeniului (aprox. 30%); </w:t>
      </w:r>
    </w:p>
    <w:p w:rsidR="001F67E7" w:rsidRPr="007F0CD0" w:rsidRDefault="001F67E7" w:rsidP="007F0CD0">
      <w:pPr>
        <w:widowControl w:val="0"/>
        <w:numPr>
          <w:ilvl w:val="0"/>
          <w:numId w:val="39"/>
        </w:numPr>
        <w:tabs>
          <w:tab w:val="left" w:pos="720"/>
          <w:tab w:val="num" w:pos="1080"/>
        </w:tabs>
        <w:overflowPunct w:val="0"/>
        <w:autoSpaceDE w:val="0"/>
        <w:autoSpaceDN w:val="0"/>
        <w:adjustRightInd w:val="0"/>
        <w:spacing w:after="0" w:line="240" w:lineRule="auto"/>
        <w:ind w:left="0" w:firstLine="360"/>
        <w:jc w:val="both"/>
        <w:rPr>
          <w:rFonts w:ascii="Times New Roman" w:hAnsi="Times New Roman"/>
          <w:b/>
          <w:bCs/>
          <w:sz w:val="20"/>
          <w:szCs w:val="20"/>
        </w:rPr>
      </w:pPr>
      <w:r w:rsidRPr="007F0CD0">
        <w:rPr>
          <w:rFonts w:ascii="Times New Roman" w:hAnsi="Times New Roman"/>
          <w:sz w:val="20"/>
          <w:szCs w:val="20"/>
        </w:rPr>
        <w:t xml:space="preserve">conţinuturilor altor tipuri de competenţe necesare cadrelor didactice - competenţe cheie (aprox. 10%). </w:t>
      </w: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r w:rsidRPr="007F0CD0">
        <w:rPr>
          <w:rFonts w:ascii="Times New Roman" w:hAnsi="Times New Roman"/>
          <w:sz w:val="20"/>
          <w:szCs w:val="20"/>
        </w:rPr>
        <w:t xml:space="preserve">În elaborarea programelor au fost aplicate </w:t>
      </w:r>
      <w:r w:rsidRPr="007F0CD0">
        <w:rPr>
          <w:rFonts w:ascii="Times New Roman" w:hAnsi="Times New Roman"/>
          <w:b/>
          <w:bCs/>
          <w:sz w:val="20"/>
          <w:szCs w:val="20"/>
        </w:rPr>
        <w:t>criterii de selectare a conţinuturilor</w:t>
      </w:r>
      <w:r w:rsidRPr="007F0CD0">
        <w:rPr>
          <w:rFonts w:ascii="Times New Roman" w:hAnsi="Times New Roman"/>
          <w:sz w:val="20"/>
          <w:szCs w:val="20"/>
        </w:rPr>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1F67E7" w:rsidRPr="007F0CD0" w:rsidRDefault="001F67E7" w:rsidP="007F0CD0">
      <w:pPr>
        <w:widowControl w:val="0"/>
        <w:overflowPunct w:val="0"/>
        <w:autoSpaceDE w:val="0"/>
        <w:autoSpaceDN w:val="0"/>
        <w:adjustRightInd w:val="0"/>
        <w:spacing w:after="0" w:line="240" w:lineRule="auto"/>
        <w:ind w:firstLine="720"/>
        <w:jc w:val="both"/>
        <w:rPr>
          <w:rFonts w:ascii="Times New Roman" w:hAnsi="Times New Roman"/>
          <w:sz w:val="20"/>
          <w:szCs w:val="20"/>
        </w:rPr>
      </w:pPr>
    </w:p>
    <w:p w:rsidR="001F67E7" w:rsidRPr="007F0CD0" w:rsidRDefault="001F67E7" w:rsidP="007F0CD0">
      <w:pPr>
        <w:spacing w:after="0" w:line="240" w:lineRule="auto"/>
        <w:jc w:val="both"/>
        <w:rPr>
          <w:rFonts w:ascii="Times New Roman" w:hAnsi="Times New Roman"/>
          <w:b/>
          <w:sz w:val="20"/>
          <w:szCs w:val="20"/>
        </w:rPr>
      </w:pPr>
      <w:r w:rsidRPr="007F0CD0">
        <w:rPr>
          <w:rFonts w:ascii="Times New Roman" w:hAnsi="Times New Roman"/>
          <w:b/>
          <w:sz w:val="20"/>
          <w:szCs w:val="20"/>
        </w:rPr>
        <w:t>COMPETENȚE GENERALE</w:t>
      </w:r>
    </w:p>
    <w:p w:rsidR="001F67E7" w:rsidRPr="007F0CD0" w:rsidRDefault="001F67E7" w:rsidP="007F0CD0">
      <w:pPr>
        <w:spacing w:after="0" w:line="240" w:lineRule="auto"/>
        <w:jc w:val="both"/>
        <w:rPr>
          <w:rFonts w:ascii="Times New Roman" w:hAnsi="Times New Roman"/>
          <w:b/>
          <w:sz w:val="20"/>
          <w:szCs w:val="20"/>
        </w:rPr>
      </w:pP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 xml:space="preserve">Proiectarea activităţii didactice </w:t>
      </w: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 xml:space="preserve">Conducerea şi monitorizarea procesului de învăţare </w:t>
      </w: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 xml:space="preserve">Evaluarea activităţilor educaţionale </w:t>
      </w: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 xml:space="preserve">Utilizarea tehnologiilor digitale </w:t>
      </w: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 xml:space="preserve">Cunoaşterea, consilierea şi tratarea diferenţiată a elevilor </w:t>
      </w:r>
    </w:p>
    <w:p w:rsidR="001F67E7" w:rsidRPr="007F0CD0" w:rsidRDefault="001F67E7" w:rsidP="007F0CD0">
      <w:pPr>
        <w:pStyle w:val="Heading22"/>
        <w:numPr>
          <w:ilvl w:val="0"/>
          <w:numId w:val="40"/>
        </w:numPr>
        <w:jc w:val="both"/>
        <w:rPr>
          <w:sz w:val="20"/>
          <w:szCs w:val="20"/>
          <w:lang w:val="ro-RO"/>
        </w:rPr>
      </w:pPr>
      <w:r w:rsidRPr="007F0CD0">
        <w:rPr>
          <w:sz w:val="20"/>
          <w:szCs w:val="20"/>
          <w:lang w:val="ro-RO"/>
        </w:rPr>
        <w:t>Managementul clasei de elevi.</w:t>
      </w:r>
    </w:p>
    <w:p w:rsidR="001F67E7" w:rsidRPr="007F0CD0" w:rsidRDefault="001F67E7" w:rsidP="007F0CD0">
      <w:pPr>
        <w:spacing w:after="0" w:line="240" w:lineRule="auto"/>
        <w:rPr>
          <w:rFonts w:ascii="Times New Roman" w:hAnsi="Times New Roman"/>
          <w:sz w:val="20"/>
          <w:szCs w:val="20"/>
        </w:rPr>
      </w:pPr>
    </w:p>
    <w:p w:rsidR="00A82F67" w:rsidRPr="007F0CD0" w:rsidRDefault="00A82F67" w:rsidP="007F0CD0">
      <w:pPr>
        <w:tabs>
          <w:tab w:val="left" w:pos="-720"/>
        </w:tabs>
        <w:spacing w:after="0" w:line="240" w:lineRule="auto"/>
        <w:jc w:val="center"/>
        <w:rPr>
          <w:rFonts w:ascii="Times New Roman" w:hAnsi="Times New Roman"/>
          <w:b/>
          <w:sz w:val="20"/>
          <w:szCs w:val="20"/>
        </w:rPr>
      </w:pPr>
      <w:r w:rsidRPr="007F0CD0">
        <w:rPr>
          <w:rFonts w:ascii="Times New Roman" w:hAnsi="Times New Roman"/>
          <w:b/>
          <w:sz w:val="20"/>
          <w:szCs w:val="20"/>
        </w:rPr>
        <w:t xml:space="preserve">II. TEMATICA DE SPECIALITATE </w:t>
      </w:r>
    </w:p>
    <w:p w:rsidR="001F67E7" w:rsidRPr="007F0CD0" w:rsidRDefault="001F67E7" w:rsidP="007F0CD0">
      <w:pPr>
        <w:tabs>
          <w:tab w:val="left" w:pos="-720"/>
        </w:tabs>
        <w:spacing w:after="0" w:line="240" w:lineRule="auto"/>
        <w:jc w:val="center"/>
        <w:rPr>
          <w:rFonts w:ascii="Times New Roman" w:hAnsi="Times New Roman"/>
          <w:b/>
          <w:sz w:val="20"/>
          <w:szCs w:val="20"/>
        </w:rPr>
      </w:pPr>
    </w:p>
    <w:p w:rsidR="00A82F67" w:rsidRPr="007F0CD0" w:rsidRDefault="00A82F67" w:rsidP="007F0CD0">
      <w:pPr>
        <w:pStyle w:val="ListParagraph"/>
        <w:tabs>
          <w:tab w:val="left" w:pos="-720"/>
        </w:tabs>
        <w:spacing w:after="0" w:line="240" w:lineRule="auto"/>
        <w:ind w:left="630"/>
        <w:rPr>
          <w:rFonts w:ascii="Times New Roman" w:hAnsi="Times New Roman"/>
          <w:b/>
          <w:sz w:val="20"/>
          <w:szCs w:val="20"/>
        </w:rPr>
      </w:pPr>
      <w:r w:rsidRPr="007F0CD0">
        <w:rPr>
          <w:rFonts w:ascii="Times New Roman" w:hAnsi="Times New Roman"/>
          <w:b/>
          <w:sz w:val="20"/>
          <w:szCs w:val="20"/>
        </w:rPr>
        <w:t>CONTABILITATE</w:t>
      </w:r>
    </w:p>
    <w:p w:rsidR="001F67E7" w:rsidRPr="007F0CD0" w:rsidRDefault="001F67E7" w:rsidP="007F0CD0">
      <w:pPr>
        <w:pStyle w:val="ListParagraph"/>
        <w:tabs>
          <w:tab w:val="left" w:pos="-720"/>
        </w:tabs>
        <w:spacing w:after="0" w:line="240" w:lineRule="auto"/>
        <w:ind w:left="630"/>
        <w:rPr>
          <w:rFonts w:ascii="Times New Roman" w:hAnsi="Times New Roman"/>
          <w:b/>
          <w:sz w:val="20"/>
          <w:szCs w:val="20"/>
        </w:rPr>
      </w:pP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1. </w:t>
      </w:r>
      <w:r w:rsidRPr="007F0CD0">
        <w:rPr>
          <w:rFonts w:ascii="Times New Roman" w:hAnsi="Times New Roman"/>
          <w:b/>
          <w:sz w:val="20"/>
          <w:szCs w:val="20"/>
        </w:rPr>
        <w:t>Ecuația fundamentală a contabilității și ecuația rezultatului economic</w:t>
      </w:r>
      <w:r w:rsidRPr="007F0CD0">
        <w:rPr>
          <w:rFonts w:ascii="Times New Roman" w:hAnsi="Times New Roman"/>
          <w:sz w:val="20"/>
          <w:szCs w:val="20"/>
        </w:rPr>
        <w:t>. Identificarea elementelor componente(active, capitaluri proprii, datorii, venituri și cheltuieli).</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2. </w:t>
      </w:r>
      <w:r w:rsidRPr="007F0CD0">
        <w:rPr>
          <w:rFonts w:ascii="Times New Roman" w:hAnsi="Times New Roman"/>
          <w:b/>
          <w:sz w:val="20"/>
          <w:szCs w:val="20"/>
        </w:rPr>
        <w:t>Documentele contabile</w:t>
      </w:r>
      <w:r w:rsidR="001F67E7" w:rsidRPr="007F0CD0">
        <w:rPr>
          <w:rFonts w:ascii="Times New Roman" w:hAnsi="Times New Roman"/>
          <w:b/>
          <w:sz w:val="20"/>
          <w:szCs w:val="20"/>
        </w:rPr>
        <w:t xml:space="preserve"> </w:t>
      </w:r>
      <w:r w:rsidRPr="007F0CD0">
        <w:rPr>
          <w:rFonts w:ascii="Times New Roman" w:hAnsi="Times New Roman"/>
          <w:sz w:val="20"/>
          <w:szCs w:val="20"/>
        </w:rPr>
        <w:t>- definiție , importanță, structură, reguli de completare, verificare, păstrare, arhivare.</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3. </w:t>
      </w:r>
      <w:r w:rsidRPr="007F0CD0">
        <w:rPr>
          <w:rFonts w:ascii="Times New Roman" w:hAnsi="Times New Roman"/>
          <w:b/>
          <w:sz w:val="20"/>
          <w:szCs w:val="20"/>
        </w:rPr>
        <w:t>Situațiile financiare anuale</w:t>
      </w:r>
      <w:r w:rsidRPr="007F0CD0">
        <w:rPr>
          <w:rFonts w:ascii="Times New Roman" w:hAnsi="Times New Roman"/>
          <w:sz w:val="20"/>
          <w:szCs w:val="20"/>
        </w:rPr>
        <w:t>: bilanțul și contul de profit și pierdere-definiție, structură, mod de întocmire; ecuațiile de modificare a situațiilor financiare.</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4. </w:t>
      </w:r>
      <w:r w:rsidRPr="007F0CD0">
        <w:rPr>
          <w:rFonts w:ascii="Times New Roman" w:hAnsi="Times New Roman"/>
          <w:b/>
          <w:sz w:val="20"/>
          <w:szCs w:val="20"/>
        </w:rPr>
        <w:t>Evaluarea în contabilitate</w:t>
      </w:r>
      <w:r w:rsidRPr="007F0CD0">
        <w:rPr>
          <w:rFonts w:ascii="Times New Roman" w:hAnsi="Times New Roman"/>
          <w:sz w:val="20"/>
          <w:szCs w:val="20"/>
        </w:rPr>
        <w:t>: momentele evaluării și criteriile de recunoaștere în contabilitate.</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5</w:t>
      </w:r>
      <w:r w:rsidRPr="007F0CD0">
        <w:rPr>
          <w:rFonts w:ascii="Times New Roman" w:hAnsi="Times New Roman"/>
          <w:b/>
          <w:sz w:val="20"/>
          <w:szCs w:val="20"/>
        </w:rPr>
        <w:t>. Contul și sistemul de conturi</w:t>
      </w:r>
      <w:r w:rsidRPr="007F0CD0">
        <w:rPr>
          <w:rFonts w:ascii="Times New Roman" w:hAnsi="Times New Roman"/>
          <w:sz w:val="20"/>
          <w:szCs w:val="20"/>
        </w:rPr>
        <w:t xml:space="preserve"> (necesitate, conţinut economic, funcţii, structură şi formă, reguli de funcţionare, dublă înregistrare şi corespondenţa conturilor, analiza contabilă, formula şi articolul contabil).</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6. </w:t>
      </w:r>
      <w:r w:rsidRPr="007F0CD0">
        <w:rPr>
          <w:rFonts w:ascii="Times New Roman" w:hAnsi="Times New Roman"/>
          <w:b/>
          <w:sz w:val="20"/>
          <w:szCs w:val="20"/>
        </w:rPr>
        <w:t>Contabilitatea evenimentelor și tranzacțiilor</w:t>
      </w:r>
      <w:r w:rsidRPr="007F0CD0">
        <w:rPr>
          <w:rFonts w:ascii="Times New Roman" w:hAnsi="Times New Roman"/>
          <w:sz w:val="20"/>
          <w:szCs w:val="20"/>
        </w:rPr>
        <w:t>:</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6.1</w:t>
      </w:r>
      <w:r w:rsidR="001F67E7" w:rsidRPr="007F0CD0">
        <w:rPr>
          <w:rFonts w:ascii="Times New Roman" w:hAnsi="Times New Roman"/>
          <w:sz w:val="20"/>
          <w:szCs w:val="20"/>
        </w:rPr>
        <w:t>.</w:t>
      </w:r>
      <w:r w:rsidRPr="007F0CD0">
        <w:rPr>
          <w:rFonts w:ascii="Times New Roman" w:hAnsi="Times New Roman"/>
          <w:sz w:val="20"/>
          <w:szCs w:val="20"/>
        </w:rPr>
        <w:t xml:space="preserve"> Contabilitatea activelor imobilizate (definiţii, delimitări, recunoaştere şi de</w:t>
      </w:r>
      <w:r w:rsidR="001F67E7" w:rsidRPr="007F0CD0">
        <w:rPr>
          <w:rFonts w:ascii="Times New Roman" w:hAnsi="Times New Roman"/>
          <w:sz w:val="20"/>
          <w:szCs w:val="20"/>
        </w:rPr>
        <w:t xml:space="preserve"> </w:t>
      </w:r>
      <w:r w:rsidRPr="007F0CD0">
        <w:rPr>
          <w:rFonts w:ascii="Times New Roman" w:hAnsi="Times New Roman"/>
          <w:sz w:val="20"/>
          <w:szCs w:val="20"/>
        </w:rPr>
        <w:t xml:space="preserve">recunoaştere, sistemul de conturi, evaluarea iniţială, evaluarea după recunoaştere, evaluarea cu ocazia cedării şi scoaterii din evidenţă, tratamente contabile şi cerinţe de prezentări de informaţii).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lastRenderedPageBreak/>
        <w:t>6.2</w:t>
      </w:r>
      <w:r w:rsidR="001F67E7" w:rsidRPr="007F0CD0">
        <w:rPr>
          <w:rFonts w:ascii="Times New Roman" w:hAnsi="Times New Roman"/>
          <w:sz w:val="20"/>
          <w:szCs w:val="20"/>
        </w:rPr>
        <w:t>.</w:t>
      </w:r>
      <w:r w:rsidRPr="007F0CD0">
        <w:rPr>
          <w:rFonts w:ascii="Times New Roman" w:hAnsi="Times New Roman"/>
          <w:sz w:val="20"/>
          <w:szCs w:val="20"/>
        </w:rPr>
        <w:t xml:space="preserve"> Contabilitatea activelor circulante (definiţii, delimitări, recunoaştere şi de</w:t>
      </w:r>
      <w:r w:rsidR="001F67E7" w:rsidRPr="007F0CD0">
        <w:rPr>
          <w:rFonts w:ascii="Times New Roman" w:hAnsi="Times New Roman"/>
          <w:sz w:val="20"/>
          <w:szCs w:val="20"/>
        </w:rPr>
        <w:t xml:space="preserve"> </w:t>
      </w:r>
      <w:r w:rsidRPr="007F0CD0">
        <w:rPr>
          <w:rFonts w:ascii="Times New Roman" w:hAnsi="Times New Roman"/>
          <w:sz w:val="20"/>
          <w:szCs w:val="20"/>
        </w:rPr>
        <w:t>recunoaştere, sistemul de conturi, evaluarea iniţială, evaluarea după recunoaştere, evaluarea la ieşire, tratamente contabile şi cerinţe de prezentări de informaţii).</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6.3</w:t>
      </w:r>
      <w:r w:rsidR="001F67E7" w:rsidRPr="007F0CD0">
        <w:rPr>
          <w:rFonts w:ascii="Times New Roman" w:hAnsi="Times New Roman"/>
          <w:sz w:val="20"/>
          <w:szCs w:val="20"/>
        </w:rPr>
        <w:t>.</w:t>
      </w:r>
      <w:r w:rsidRPr="007F0CD0">
        <w:rPr>
          <w:rFonts w:ascii="Times New Roman" w:hAnsi="Times New Roman"/>
          <w:sz w:val="20"/>
          <w:szCs w:val="20"/>
        </w:rPr>
        <w:t xml:space="preserve"> Contabilitatea terţilor şi a subvenţiilor pentru investiţii (definiţii, delimitări, sistemul de conturi, contabilitatea decontărilor cu clienţii, furnizorii, asigurările şi protecţia socială, bugetul statului şi fondurile speciale, debitorii şi creditorii diverşi, contabilitatea decontărilor în cadrul grupului, în cadrul unităţii şi a operaţiilor de participaţie, contabilitatea datoriilor financiare pe termen scurt, ajustările pentru deprecierea creanţelor, contabilitatea cheltuielilor şi a veniturilor în avans, contabilitatea subvenţiilor pentru investiţii).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6.4</w:t>
      </w:r>
      <w:r w:rsidR="001F67E7" w:rsidRPr="007F0CD0">
        <w:rPr>
          <w:rFonts w:ascii="Times New Roman" w:hAnsi="Times New Roman"/>
          <w:sz w:val="20"/>
          <w:szCs w:val="20"/>
        </w:rPr>
        <w:t>.</w:t>
      </w:r>
      <w:r w:rsidRPr="007F0CD0">
        <w:rPr>
          <w:rFonts w:ascii="Times New Roman" w:hAnsi="Times New Roman"/>
          <w:sz w:val="20"/>
          <w:szCs w:val="20"/>
        </w:rPr>
        <w:t xml:space="preserve"> Contabilitatea capitalurilor (definiţii, delimitări, sistemul de conturi, contabilitatea capitalului social, contabilitatea primelor şi rezervelor, contabilitatea rezultatului reportat şi a rezultatului exerciţiului, inclusiv corectarea erorilor contabile, repartizarea profitului, contabilitatea datoriilor financiare pe termen lung, contabilitatea provizioanelor).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sz w:val="20"/>
          <w:szCs w:val="20"/>
        </w:rPr>
        <w:t>6.5</w:t>
      </w:r>
      <w:r w:rsidR="001F67E7" w:rsidRPr="007F0CD0">
        <w:rPr>
          <w:rFonts w:ascii="Times New Roman" w:hAnsi="Times New Roman"/>
          <w:sz w:val="20"/>
          <w:szCs w:val="20"/>
        </w:rPr>
        <w:t>.</w:t>
      </w:r>
      <w:r w:rsidRPr="007F0CD0">
        <w:rPr>
          <w:rFonts w:ascii="Times New Roman" w:hAnsi="Times New Roman"/>
          <w:sz w:val="20"/>
          <w:szCs w:val="20"/>
        </w:rPr>
        <w:t xml:space="preserve"> Contabilitatea veniturilor şi cheltuielilor (recunoaştere, sistemul de conturi, tratamente contabile).</w:t>
      </w:r>
    </w:p>
    <w:p w:rsidR="00A82F67" w:rsidRPr="007F0CD0" w:rsidRDefault="00A82F67" w:rsidP="007F0CD0">
      <w:pPr>
        <w:tabs>
          <w:tab w:val="left" w:pos="-720"/>
        </w:tabs>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7. </w:t>
      </w:r>
      <w:r w:rsidRPr="007F0CD0">
        <w:rPr>
          <w:rFonts w:ascii="Times New Roman" w:hAnsi="Times New Roman"/>
          <w:b/>
          <w:sz w:val="20"/>
          <w:szCs w:val="20"/>
        </w:rPr>
        <w:t>Lucrările contabile de închidere a exerciţiului financiar</w:t>
      </w:r>
      <w:r w:rsidRPr="007F0CD0">
        <w:rPr>
          <w:rFonts w:ascii="Times New Roman" w:hAnsi="Times New Roman"/>
          <w:sz w:val="20"/>
          <w:szCs w:val="20"/>
        </w:rPr>
        <w:t>. Întocmirea şi prezentarea situaţiilor financiare anuale. Delimitarea lucrărilor de închidere a  exerciţiului.</w:t>
      </w:r>
    </w:p>
    <w:p w:rsidR="00A82F67" w:rsidRPr="007F0CD0" w:rsidRDefault="00A82F67" w:rsidP="007F0CD0">
      <w:pPr>
        <w:tabs>
          <w:tab w:val="left" w:pos="-720"/>
        </w:tabs>
        <w:spacing w:after="0" w:line="240" w:lineRule="auto"/>
        <w:ind w:left="360"/>
        <w:jc w:val="both"/>
        <w:rPr>
          <w:rFonts w:ascii="Times New Roman" w:hAnsi="Times New Roman"/>
          <w:sz w:val="20"/>
          <w:szCs w:val="20"/>
        </w:rPr>
      </w:pPr>
      <w:r w:rsidRPr="007F0CD0">
        <w:rPr>
          <w:rFonts w:ascii="Times New Roman" w:hAnsi="Times New Roman"/>
          <w:sz w:val="20"/>
          <w:szCs w:val="20"/>
        </w:rPr>
        <w:t>7.1</w:t>
      </w:r>
      <w:r w:rsidR="001F67E7" w:rsidRPr="007F0CD0">
        <w:rPr>
          <w:rFonts w:ascii="Times New Roman" w:hAnsi="Times New Roman"/>
          <w:sz w:val="20"/>
          <w:szCs w:val="20"/>
        </w:rPr>
        <w:t>.</w:t>
      </w:r>
      <w:r w:rsidRPr="007F0CD0">
        <w:rPr>
          <w:rFonts w:ascii="Times New Roman" w:hAnsi="Times New Roman"/>
          <w:sz w:val="20"/>
          <w:szCs w:val="20"/>
        </w:rPr>
        <w:t xml:space="preserve"> Balanţa conturilor înainte de inventariere.</w:t>
      </w:r>
      <w:r w:rsidR="001F67E7" w:rsidRPr="007F0CD0">
        <w:rPr>
          <w:rFonts w:ascii="Times New Roman" w:hAnsi="Times New Roman"/>
          <w:sz w:val="20"/>
          <w:szCs w:val="20"/>
        </w:rPr>
        <w:t xml:space="preserve"> </w:t>
      </w:r>
      <w:r w:rsidRPr="007F0CD0">
        <w:rPr>
          <w:rFonts w:ascii="Times New Roman" w:hAnsi="Times New Roman"/>
          <w:sz w:val="20"/>
          <w:szCs w:val="20"/>
        </w:rPr>
        <w:t>Noţiune, importanţă, funcţii, clasificare, întocmire, identificare erori.</w:t>
      </w:r>
    </w:p>
    <w:p w:rsidR="00A82F67" w:rsidRPr="007F0CD0" w:rsidRDefault="001F67E7" w:rsidP="007F0CD0">
      <w:pPr>
        <w:tabs>
          <w:tab w:val="left" w:pos="-720"/>
          <w:tab w:val="left" w:pos="360"/>
        </w:tabs>
        <w:spacing w:after="0" w:line="240" w:lineRule="auto"/>
        <w:ind w:left="360" w:hanging="360"/>
        <w:jc w:val="both"/>
        <w:rPr>
          <w:rFonts w:ascii="Times New Roman" w:hAnsi="Times New Roman"/>
          <w:sz w:val="20"/>
          <w:szCs w:val="20"/>
        </w:rPr>
      </w:pPr>
      <w:r w:rsidRPr="007F0CD0">
        <w:rPr>
          <w:rFonts w:ascii="Times New Roman" w:hAnsi="Times New Roman"/>
          <w:sz w:val="20"/>
          <w:szCs w:val="20"/>
        </w:rPr>
        <w:tab/>
      </w:r>
      <w:r w:rsidR="00A82F67" w:rsidRPr="007F0CD0">
        <w:rPr>
          <w:rFonts w:ascii="Times New Roman" w:hAnsi="Times New Roman"/>
          <w:sz w:val="20"/>
          <w:szCs w:val="20"/>
        </w:rPr>
        <w:t>7.2</w:t>
      </w:r>
      <w:r w:rsidRPr="007F0CD0">
        <w:rPr>
          <w:rFonts w:ascii="Times New Roman" w:hAnsi="Times New Roman"/>
          <w:sz w:val="20"/>
          <w:szCs w:val="20"/>
        </w:rPr>
        <w:t>.</w:t>
      </w:r>
      <w:r w:rsidR="00A82F67" w:rsidRPr="007F0CD0">
        <w:rPr>
          <w:rFonts w:ascii="Times New Roman" w:hAnsi="Times New Roman"/>
          <w:sz w:val="20"/>
          <w:szCs w:val="20"/>
        </w:rPr>
        <w:t xml:space="preserve"> Inventarierea patrimoniului .(constatarea şi descrierea elementelor inventariate; metode de estimare a valorii de inventar). Contabilitatea regularizărilor privind plusurile şi minusurile de inventar; amortizările şi provizioanele, cheltuielile şi veniturile înregistrate în avans;</w:t>
      </w:r>
    </w:p>
    <w:p w:rsidR="00A82F67" w:rsidRPr="007F0CD0" w:rsidRDefault="00A82F67" w:rsidP="007F0CD0">
      <w:pPr>
        <w:tabs>
          <w:tab w:val="left" w:pos="-720"/>
          <w:tab w:val="left" w:pos="360"/>
        </w:tabs>
        <w:spacing w:after="0" w:line="240" w:lineRule="auto"/>
        <w:ind w:left="360"/>
        <w:jc w:val="both"/>
        <w:rPr>
          <w:rFonts w:ascii="Times New Roman" w:hAnsi="Times New Roman"/>
          <w:sz w:val="20"/>
          <w:szCs w:val="20"/>
        </w:rPr>
      </w:pPr>
      <w:r w:rsidRPr="007F0CD0">
        <w:rPr>
          <w:rFonts w:ascii="Times New Roman" w:hAnsi="Times New Roman"/>
          <w:sz w:val="20"/>
          <w:szCs w:val="20"/>
        </w:rPr>
        <w:t>7.3</w:t>
      </w:r>
      <w:r w:rsidR="001F67E7" w:rsidRPr="007F0CD0">
        <w:rPr>
          <w:rFonts w:ascii="Times New Roman" w:hAnsi="Times New Roman"/>
          <w:sz w:val="20"/>
          <w:szCs w:val="20"/>
        </w:rPr>
        <w:t>.</w:t>
      </w:r>
      <w:r w:rsidRPr="007F0CD0">
        <w:rPr>
          <w:rFonts w:ascii="Times New Roman" w:hAnsi="Times New Roman"/>
          <w:sz w:val="20"/>
          <w:szCs w:val="20"/>
        </w:rPr>
        <w:t xml:space="preserve"> Redactarea situa</w:t>
      </w:r>
      <w:r w:rsidR="001F67E7" w:rsidRPr="007F0CD0">
        <w:rPr>
          <w:rFonts w:ascii="Times New Roman" w:hAnsi="Times New Roman"/>
          <w:sz w:val="20"/>
          <w:szCs w:val="20"/>
        </w:rPr>
        <w:t>ţ</w:t>
      </w:r>
      <w:r w:rsidRPr="007F0CD0">
        <w:rPr>
          <w:rFonts w:ascii="Times New Roman" w:hAnsi="Times New Roman"/>
          <w:sz w:val="20"/>
          <w:szCs w:val="20"/>
        </w:rPr>
        <w:t xml:space="preserve">iilor financiare. Situaţiile financiare consolidate. Analiza bilanţului şi a contului de rezultate (soldurile intermediare de gestiune, capacitatea de autofinanţare); bilanţul (bilanţul funcţional, fondul de rulment net global şi nevoia de fond de rulment). Analiza fluxurilor de trezorerie (situaţia fluxurilor de trezorerie). Calculul şi analiza principalilor indicatori economico-financiari (de lichiditate, de risc, de gestiune, de profitabilitate, rezultatul pe acţiune).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8.</w:t>
      </w:r>
      <w:r w:rsidR="001F67E7" w:rsidRPr="007F0CD0">
        <w:rPr>
          <w:rFonts w:ascii="Times New Roman" w:hAnsi="Times New Roman"/>
          <w:b/>
          <w:sz w:val="20"/>
          <w:szCs w:val="20"/>
        </w:rPr>
        <w:t xml:space="preserve"> </w:t>
      </w:r>
      <w:r w:rsidRPr="007F0CD0">
        <w:rPr>
          <w:rFonts w:ascii="Times New Roman" w:hAnsi="Times New Roman"/>
          <w:b/>
          <w:sz w:val="20"/>
          <w:szCs w:val="20"/>
        </w:rPr>
        <w:t>Contabilitate de gestiune</w:t>
      </w:r>
      <w:r w:rsidRPr="007F0CD0">
        <w:rPr>
          <w:rFonts w:ascii="Times New Roman" w:hAnsi="Times New Roman"/>
          <w:sz w:val="20"/>
          <w:szCs w:val="20"/>
        </w:rPr>
        <w:t xml:space="preserve">: </w:t>
      </w:r>
    </w:p>
    <w:p w:rsidR="00A82F67" w:rsidRPr="007F0CD0" w:rsidRDefault="00A82F67" w:rsidP="007F0CD0">
      <w:pPr>
        <w:tabs>
          <w:tab w:val="left" w:pos="-720"/>
        </w:tabs>
        <w:spacing w:after="0" w:line="240" w:lineRule="auto"/>
        <w:ind w:left="360"/>
        <w:jc w:val="both"/>
        <w:rPr>
          <w:rFonts w:ascii="Times New Roman" w:hAnsi="Times New Roman"/>
          <w:sz w:val="20"/>
          <w:szCs w:val="20"/>
        </w:rPr>
      </w:pPr>
      <w:r w:rsidRPr="007F0CD0">
        <w:rPr>
          <w:rFonts w:ascii="Times New Roman" w:hAnsi="Times New Roman"/>
          <w:sz w:val="20"/>
          <w:szCs w:val="20"/>
        </w:rPr>
        <w:t xml:space="preserve">Obiectivele  şi   domeniile  contabilităţii   de   gestiune.   Structuri   privind    costurile (costurile fixe şi costurile variabile, costurile directe şi costurile indirecte, costul produsului şi costul perioadei). Formule privind costurile </w:t>
      </w:r>
      <w:r w:rsidRPr="007F0CD0">
        <w:rPr>
          <w:rFonts w:ascii="Times New Roman" w:hAnsi="Times New Roman"/>
          <w:sz w:val="20"/>
          <w:szCs w:val="20"/>
          <w:lang w:val="it-IT"/>
        </w:rPr>
        <w:t>(</w:t>
      </w:r>
      <w:r w:rsidRPr="007F0CD0">
        <w:rPr>
          <w:rFonts w:ascii="Times New Roman" w:hAnsi="Times New Roman"/>
          <w:sz w:val="20"/>
          <w:szCs w:val="20"/>
        </w:rPr>
        <w:t>costuri totale şi costuri parţiale</w:t>
      </w:r>
      <w:r w:rsidRPr="007F0CD0">
        <w:rPr>
          <w:rFonts w:ascii="Times New Roman" w:hAnsi="Times New Roman"/>
          <w:sz w:val="20"/>
          <w:szCs w:val="20"/>
          <w:lang w:val="it-IT"/>
        </w:rPr>
        <w:t xml:space="preserve">). </w:t>
      </w:r>
      <w:r w:rsidRPr="007F0CD0">
        <w:rPr>
          <w:rFonts w:ascii="Times New Roman" w:hAnsi="Times New Roman"/>
          <w:sz w:val="20"/>
          <w:szCs w:val="20"/>
        </w:rPr>
        <w:t xml:space="preserve">Relaţii şi delimitări între contabilitatea de gestiune şi contabilitatea financiară. Metode (globală, faze, comenzi) şi procedee de calculaţie a costurilor pe produs (diviziunea simplă, suplimentării, coeficienţi echivalenţă şi excluderea producţiei secundare). </w:t>
      </w:r>
    </w:p>
    <w:p w:rsidR="00BC3F8A" w:rsidRPr="007F0CD0" w:rsidRDefault="00BC3F8A" w:rsidP="007F0CD0">
      <w:pPr>
        <w:tabs>
          <w:tab w:val="left" w:pos="-720"/>
        </w:tabs>
        <w:spacing w:after="0" w:line="240" w:lineRule="auto"/>
        <w:ind w:left="426"/>
        <w:jc w:val="both"/>
        <w:rPr>
          <w:rFonts w:ascii="Times New Roman" w:hAnsi="Times New Roman"/>
          <w:sz w:val="20"/>
          <w:szCs w:val="20"/>
        </w:rPr>
      </w:pPr>
    </w:p>
    <w:p w:rsidR="00A82F67" w:rsidRPr="007F0CD0" w:rsidRDefault="001F67E7" w:rsidP="007F0CD0">
      <w:pPr>
        <w:tabs>
          <w:tab w:val="left" w:pos="-720"/>
        </w:tabs>
        <w:spacing w:after="0" w:line="240" w:lineRule="auto"/>
        <w:rPr>
          <w:rFonts w:ascii="Times New Roman" w:hAnsi="Times New Roman"/>
          <w:sz w:val="20"/>
          <w:szCs w:val="20"/>
        </w:rPr>
      </w:pPr>
      <w:r w:rsidRPr="007F0CD0">
        <w:rPr>
          <w:rFonts w:ascii="Times New Roman" w:hAnsi="Times New Roman"/>
          <w:b/>
          <w:sz w:val="20"/>
          <w:szCs w:val="20"/>
        </w:rPr>
        <w:tab/>
      </w:r>
      <w:r w:rsidR="00A82F67" w:rsidRPr="007F0CD0">
        <w:rPr>
          <w:rFonts w:ascii="Times New Roman" w:hAnsi="Times New Roman"/>
          <w:b/>
          <w:sz w:val="20"/>
          <w:szCs w:val="20"/>
        </w:rPr>
        <w:t>FINAN</w:t>
      </w:r>
      <w:r w:rsidR="00996F79" w:rsidRPr="007F0CD0">
        <w:rPr>
          <w:rFonts w:ascii="Times New Roman" w:hAnsi="Times New Roman"/>
          <w:b/>
          <w:sz w:val="20"/>
          <w:szCs w:val="20"/>
        </w:rPr>
        <w:t>Ţ</w:t>
      </w:r>
      <w:r w:rsidR="00A82F67" w:rsidRPr="007F0CD0">
        <w:rPr>
          <w:rFonts w:ascii="Times New Roman" w:hAnsi="Times New Roman"/>
          <w:b/>
          <w:sz w:val="20"/>
          <w:szCs w:val="20"/>
        </w:rPr>
        <w:t>E</w:t>
      </w:r>
    </w:p>
    <w:p w:rsidR="00A82F67" w:rsidRPr="007F0CD0" w:rsidRDefault="00A82F67" w:rsidP="007F0CD0">
      <w:pPr>
        <w:spacing w:after="0" w:line="240" w:lineRule="auto"/>
        <w:jc w:val="center"/>
        <w:rPr>
          <w:rFonts w:ascii="Times New Roman" w:hAnsi="Times New Roman"/>
          <w:b/>
          <w:sz w:val="20"/>
          <w:szCs w:val="20"/>
        </w:rPr>
      </w:pP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Finanţe</w:t>
      </w:r>
      <w:r w:rsidR="00996F79" w:rsidRPr="007F0CD0">
        <w:rPr>
          <w:rFonts w:ascii="Times New Roman" w:hAnsi="Times New Roman"/>
          <w:b/>
          <w:sz w:val="20"/>
          <w:szCs w:val="20"/>
        </w:rPr>
        <w:t xml:space="preserve"> </w:t>
      </w:r>
      <w:r w:rsidRPr="007F0CD0">
        <w:rPr>
          <w:rFonts w:ascii="Times New Roman" w:hAnsi="Times New Roman"/>
          <w:b/>
          <w:sz w:val="20"/>
          <w:szCs w:val="20"/>
        </w:rPr>
        <w:t>- caracterizare generală</w:t>
      </w:r>
      <w:r w:rsidRPr="007F0CD0">
        <w:rPr>
          <w:rFonts w:ascii="Times New Roman" w:hAnsi="Times New Roman"/>
          <w:sz w:val="20"/>
          <w:szCs w:val="20"/>
        </w:rPr>
        <w:t xml:space="preserve"> -</w:t>
      </w:r>
      <w:r w:rsidR="00996F79" w:rsidRPr="007F0CD0">
        <w:rPr>
          <w:rFonts w:ascii="Times New Roman" w:hAnsi="Times New Roman"/>
          <w:sz w:val="20"/>
          <w:szCs w:val="20"/>
        </w:rPr>
        <w:t xml:space="preserve"> </w:t>
      </w:r>
      <w:r w:rsidRPr="007F0CD0">
        <w:rPr>
          <w:rFonts w:ascii="Times New Roman" w:hAnsi="Times New Roman"/>
          <w:sz w:val="20"/>
          <w:szCs w:val="20"/>
        </w:rPr>
        <w:t>definiţii, sferă de cuprindere, funcţii. Sistemul financiar.</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Sistemul cheltuielilor publice</w:t>
      </w:r>
      <w:r w:rsidRPr="007F0CD0">
        <w:rPr>
          <w:rFonts w:ascii="Times New Roman" w:hAnsi="Times New Roman"/>
          <w:sz w:val="20"/>
          <w:szCs w:val="20"/>
        </w:rPr>
        <w:t xml:space="preserve">. Definiţie, clasificare. Indicatori de apreciere. </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Sistemul veniturilor publice</w:t>
      </w:r>
      <w:r w:rsidRPr="007F0CD0">
        <w:rPr>
          <w:rFonts w:ascii="Times New Roman" w:hAnsi="Times New Roman"/>
          <w:sz w:val="20"/>
          <w:szCs w:val="20"/>
        </w:rPr>
        <w:t>. Definiţie, clasificare. Indicatori de apreciere.</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Sistemul bugetar.</w:t>
      </w:r>
      <w:r w:rsidRPr="007F0CD0">
        <w:rPr>
          <w:rFonts w:ascii="Times New Roman" w:hAnsi="Times New Roman"/>
          <w:sz w:val="20"/>
          <w:szCs w:val="20"/>
        </w:rPr>
        <w:t xml:space="preserve"> Componente, caracteristici, principii bugetare. Procesul bugetar în România</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Impozite</w:t>
      </w:r>
      <w:r w:rsidRPr="007F0CD0">
        <w:rPr>
          <w:rFonts w:ascii="Times New Roman" w:hAnsi="Times New Roman"/>
          <w:sz w:val="20"/>
          <w:szCs w:val="20"/>
        </w:rPr>
        <w:t>. Definiţie, rol, clasificare. Elementele impozitului, aşezare si percepere. Principii ale impunerii.</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Impozitele directe în România.</w:t>
      </w:r>
      <w:r w:rsidRPr="007F0CD0">
        <w:rPr>
          <w:rFonts w:ascii="Times New Roman" w:hAnsi="Times New Roman"/>
          <w:sz w:val="20"/>
          <w:szCs w:val="20"/>
        </w:rPr>
        <w:t xml:space="preserve"> Definiţie, caracteristici, tipuri.</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Impozitele indirecte în România</w:t>
      </w:r>
      <w:r w:rsidRPr="007F0CD0">
        <w:rPr>
          <w:rFonts w:ascii="Times New Roman" w:hAnsi="Times New Roman"/>
          <w:sz w:val="20"/>
          <w:szCs w:val="20"/>
        </w:rPr>
        <w:t xml:space="preserve">. Definiţie, caracteristici, tipuri. </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Datoria publică.</w:t>
      </w:r>
      <w:r w:rsidRPr="007F0CD0">
        <w:rPr>
          <w:rFonts w:ascii="Times New Roman" w:hAnsi="Times New Roman"/>
          <w:sz w:val="20"/>
          <w:szCs w:val="20"/>
        </w:rPr>
        <w:t xml:space="preserve"> Conţinut, clasificare, indicatori de apreciere, respectarea regulilor europene. Deficitul bugetar.</w:t>
      </w:r>
    </w:p>
    <w:p w:rsidR="00A82F67" w:rsidRPr="007F0CD0" w:rsidRDefault="00A82F67" w:rsidP="007F0CD0">
      <w:pPr>
        <w:pStyle w:val="ListParagraph"/>
        <w:numPr>
          <w:ilvl w:val="0"/>
          <w:numId w:val="6"/>
        </w:numPr>
        <w:spacing w:after="0" w:line="240" w:lineRule="auto"/>
        <w:jc w:val="both"/>
        <w:rPr>
          <w:rFonts w:ascii="Times New Roman" w:hAnsi="Times New Roman"/>
          <w:sz w:val="20"/>
          <w:szCs w:val="20"/>
        </w:rPr>
      </w:pPr>
      <w:r w:rsidRPr="007F0CD0">
        <w:rPr>
          <w:rFonts w:ascii="Times New Roman" w:hAnsi="Times New Roman"/>
          <w:b/>
          <w:sz w:val="20"/>
          <w:szCs w:val="20"/>
        </w:rPr>
        <w:t xml:space="preserve">Asigurări - caracterizare general. </w:t>
      </w:r>
      <w:r w:rsidRPr="007F0CD0">
        <w:rPr>
          <w:rFonts w:ascii="Times New Roman" w:hAnsi="Times New Roman"/>
          <w:sz w:val="20"/>
          <w:szCs w:val="20"/>
        </w:rPr>
        <w:t>Defini</w:t>
      </w:r>
      <w:r w:rsidR="00996F79" w:rsidRPr="007F0CD0">
        <w:rPr>
          <w:rFonts w:ascii="Times New Roman" w:hAnsi="Times New Roman"/>
          <w:sz w:val="20"/>
          <w:szCs w:val="20"/>
        </w:rPr>
        <w:t>ţ</w:t>
      </w:r>
      <w:r w:rsidRPr="007F0CD0">
        <w:rPr>
          <w:rFonts w:ascii="Times New Roman" w:hAnsi="Times New Roman"/>
          <w:sz w:val="20"/>
          <w:szCs w:val="20"/>
        </w:rPr>
        <w:t xml:space="preserve">ie, elemente, tipuri de asigurări. </w:t>
      </w:r>
    </w:p>
    <w:p w:rsidR="00A82F67" w:rsidRPr="007F0CD0" w:rsidRDefault="00A82F67" w:rsidP="007F0CD0">
      <w:pPr>
        <w:pStyle w:val="ListParagraph"/>
        <w:numPr>
          <w:ilvl w:val="0"/>
          <w:numId w:val="6"/>
        </w:numPr>
        <w:spacing w:after="0" w:line="240" w:lineRule="auto"/>
        <w:jc w:val="both"/>
        <w:rPr>
          <w:rFonts w:ascii="Times New Roman" w:hAnsi="Times New Roman"/>
          <w:b/>
          <w:sz w:val="20"/>
          <w:szCs w:val="20"/>
        </w:rPr>
      </w:pPr>
      <w:r w:rsidRPr="007F0CD0">
        <w:rPr>
          <w:rFonts w:ascii="Times New Roman" w:hAnsi="Times New Roman"/>
          <w:b/>
          <w:sz w:val="20"/>
          <w:szCs w:val="20"/>
        </w:rPr>
        <w:t>Surse de finanţare a activităţii întreprinderii.</w:t>
      </w:r>
    </w:p>
    <w:p w:rsidR="00996F79" w:rsidRPr="007F0CD0" w:rsidRDefault="00996F79" w:rsidP="007F0CD0">
      <w:pPr>
        <w:spacing w:after="0" w:line="240" w:lineRule="auto"/>
        <w:ind w:left="720"/>
        <w:rPr>
          <w:rFonts w:ascii="Times New Roman" w:hAnsi="Times New Roman"/>
          <w:b/>
          <w:sz w:val="20"/>
          <w:szCs w:val="20"/>
        </w:rPr>
      </w:pPr>
    </w:p>
    <w:p w:rsidR="00A82F67" w:rsidRPr="007F0CD0" w:rsidRDefault="00A82F67" w:rsidP="007F0CD0">
      <w:pPr>
        <w:spacing w:after="0" w:line="240" w:lineRule="auto"/>
        <w:ind w:left="720"/>
        <w:rPr>
          <w:rFonts w:ascii="Times New Roman" w:hAnsi="Times New Roman"/>
          <w:b/>
          <w:sz w:val="20"/>
          <w:szCs w:val="20"/>
        </w:rPr>
      </w:pPr>
      <w:r w:rsidRPr="007F0CD0">
        <w:rPr>
          <w:rFonts w:ascii="Times New Roman" w:hAnsi="Times New Roman"/>
          <w:b/>
          <w:sz w:val="20"/>
          <w:szCs w:val="20"/>
        </w:rPr>
        <w:t>MANAGEMENT</w:t>
      </w:r>
    </w:p>
    <w:p w:rsidR="00996F79" w:rsidRPr="007F0CD0" w:rsidRDefault="00996F79" w:rsidP="007F0CD0">
      <w:pPr>
        <w:spacing w:after="0" w:line="240" w:lineRule="auto"/>
        <w:ind w:left="720"/>
        <w:rPr>
          <w:rFonts w:ascii="Times New Roman" w:hAnsi="Times New Roman"/>
          <w:b/>
          <w:sz w:val="20"/>
          <w:szCs w:val="20"/>
        </w:rPr>
      </w:pP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1. Problematica generală a managementului. </w:t>
      </w:r>
      <w:r w:rsidRPr="007F0CD0">
        <w:rPr>
          <w:rFonts w:ascii="Times New Roman" w:hAnsi="Times New Roman"/>
          <w:sz w:val="20"/>
          <w:szCs w:val="20"/>
        </w:rPr>
        <w:t xml:space="preserve">Definirea conceptului de management. Managerii – specialiştii care realizează activitatea de management în organizaţii.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2. Cultura organizaţională şi etica afacerilor </w:t>
      </w:r>
      <w:r w:rsidRPr="007F0CD0">
        <w:rPr>
          <w:rFonts w:ascii="Times New Roman" w:hAnsi="Times New Roman"/>
          <w:sz w:val="20"/>
          <w:szCs w:val="20"/>
        </w:rPr>
        <w:t xml:space="preserve">Conţinutul şi elementele culturii organizaţionale. Etica afacerilor.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3. Misiunea, obiectivele şi strategiile unei organizaţii </w:t>
      </w:r>
      <w:r w:rsidRPr="007F0CD0">
        <w:rPr>
          <w:rFonts w:ascii="Times New Roman" w:hAnsi="Times New Roman"/>
          <w:sz w:val="20"/>
          <w:szCs w:val="20"/>
        </w:rPr>
        <w:t>Mediul extern al firmei. Misiunea şi obiectivele firmei. Strategiile firmei şi implementarea acestora. Planificarea strategică a organizaţiei, instrument de concretizare a misiunii, obiectivelor şi strategiilor.</w:t>
      </w:r>
    </w:p>
    <w:p w:rsidR="0025202F"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4.Sistemul decizional al firmei </w:t>
      </w:r>
      <w:r w:rsidRPr="007F0CD0">
        <w:rPr>
          <w:rFonts w:ascii="Times New Roman" w:hAnsi="Times New Roman"/>
          <w:sz w:val="20"/>
          <w:szCs w:val="20"/>
        </w:rPr>
        <w:t xml:space="preserve">Conceptul de decizie managerială. Situaţii decizionale şi tipuri de decizii. Structura procesului decizional.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5. Organizarea şi structurile organizatorice de management </w:t>
      </w:r>
      <w:r w:rsidRPr="007F0CD0">
        <w:rPr>
          <w:rFonts w:ascii="Times New Roman" w:hAnsi="Times New Roman"/>
          <w:sz w:val="20"/>
          <w:szCs w:val="20"/>
        </w:rPr>
        <w:t xml:space="preserve">Organizarea ca proces de diviziune a muncii. Conţinutul structurii organizatorice. Elaborarea structurii organizatorice. Tipuri de structuri organizatorice.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6. Activităţile ale managementului resurselor umane </w:t>
      </w:r>
      <w:r w:rsidRPr="007F0CD0">
        <w:rPr>
          <w:rFonts w:ascii="Times New Roman" w:hAnsi="Times New Roman"/>
          <w:sz w:val="20"/>
          <w:szCs w:val="20"/>
        </w:rPr>
        <w:t xml:space="preserve">Planificarea resurselor umane. Asigurarea cu resurse umane. Menţinerea şi dezvoltarea resurselor umane. Conceptul de motivaţie în muncă. </w:t>
      </w:r>
    </w:p>
    <w:p w:rsidR="00E56236"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8. Leadership </w:t>
      </w:r>
      <w:r w:rsidRPr="007F0CD0">
        <w:rPr>
          <w:rFonts w:ascii="Times New Roman" w:hAnsi="Times New Roman"/>
          <w:sz w:val="20"/>
          <w:szCs w:val="20"/>
        </w:rPr>
        <w:t xml:space="preserve">Conceptul de leadership şi factorii de influenţă. Poziţionarea liderului în raport cu grupul şi membrii grupului. </w:t>
      </w:r>
    </w:p>
    <w:p w:rsidR="0025202F"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lastRenderedPageBreak/>
        <w:t xml:space="preserve">9. Comunicarea managerială şi sistemul informaţional în management </w:t>
      </w:r>
      <w:r w:rsidRPr="007F0CD0">
        <w:rPr>
          <w:rFonts w:ascii="Times New Roman" w:hAnsi="Times New Roman"/>
          <w:sz w:val="20"/>
          <w:szCs w:val="20"/>
        </w:rPr>
        <w:t xml:space="preserve">Informaţiile şi managementul. Comunicarea managerială. Sisteme informaţionale de management (conţinut şi structură, sisteme informaţionale operaţionale, sisteme informaţionale de management). </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10. Managementul conflictelor </w:t>
      </w:r>
      <w:r w:rsidRPr="007F0CD0">
        <w:rPr>
          <w:rFonts w:ascii="Times New Roman" w:hAnsi="Times New Roman"/>
          <w:sz w:val="20"/>
          <w:szCs w:val="20"/>
        </w:rPr>
        <w:t>Definirea conceptului de conflict. Principalele tipuri de conflicte şi cauzele apariţiei acestora. Evoluţia conflictelor. Modele de conflict inter-grupuri. Metode de soluţionare a conflictelor.</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11. Controlul managerial </w:t>
      </w:r>
      <w:r w:rsidRPr="007F0CD0">
        <w:rPr>
          <w:rFonts w:ascii="Times New Roman" w:hAnsi="Times New Roman"/>
          <w:sz w:val="20"/>
          <w:szCs w:val="20"/>
        </w:rPr>
        <w:t>Procesul de control managerial (definire şi importanţă, tipuri de control, structura procesului de control, volumul activităţii de control). Metode şi sisteme de control.</w:t>
      </w:r>
    </w:p>
    <w:p w:rsidR="00A82F67" w:rsidRPr="007F0CD0" w:rsidRDefault="00A82F67" w:rsidP="007F0CD0">
      <w:pPr>
        <w:spacing w:after="0" w:line="240" w:lineRule="auto"/>
        <w:ind w:left="360"/>
        <w:jc w:val="both"/>
        <w:rPr>
          <w:rFonts w:ascii="Times New Roman" w:hAnsi="Times New Roman"/>
          <w:sz w:val="20"/>
          <w:szCs w:val="20"/>
        </w:rPr>
      </w:pPr>
      <w:r w:rsidRPr="007F0CD0">
        <w:rPr>
          <w:rFonts w:ascii="Times New Roman" w:hAnsi="Times New Roman"/>
          <w:b/>
          <w:sz w:val="20"/>
          <w:szCs w:val="20"/>
        </w:rPr>
        <w:t xml:space="preserve">12. Sisteme, metode şi tehnici de management </w:t>
      </w:r>
      <w:r w:rsidRPr="007F0CD0">
        <w:rPr>
          <w:rFonts w:ascii="Times New Roman" w:hAnsi="Times New Roman"/>
          <w:sz w:val="20"/>
          <w:szCs w:val="20"/>
        </w:rPr>
        <w:t>Conceptul de sistem şi metodă. Principalele sisteme, metode şi tehnici de management.Sisteme şi metode generale de management: managementul prin obiective, managementul prin proiecte, managementul pe produs, managementul prin bugete, managementul prin excepţie, managementul participativ. Metode şi tehnici specifice de management: diagnosticarea, şedinţa, delegarea, tabloul de bord. Metode de stimulare a creativităţii personalului (brainstorming-ul, sinectica, metoda Delphi, matricea descoperirilor).</w:t>
      </w:r>
    </w:p>
    <w:p w:rsidR="00996F79" w:rsidRPr="007F0CD0" w:rsidRDefault="00996F79" w:rsidP="007F0CD0">
      <w:pPr>
        <w:widowControl w:val="0"/>
        <w:autoSpaceDE w:val="0"/>
        <w:autoSpaceDN w:val="0"/>
        <w:adjustRightInd w:val="0"/>
        <w:spacing w:after="0" w:line="240" w:lineRule="auto"/>
        <w:rPr>
          <w:rFonts w:ascii="Times New Roman" w:hAnsi="Times New Roman"/>
          <w:b/>
          <w:bCs/>
          <w:sz w:val="20"/>
          <w:szCs w:val="20"/>
        </w:rPr>
      </w:pPr>
    </w:p>
    <w:p w:rsidR="001F67E7" w:rsidRPr="007F0CD0" w:rsidRDefault="007F0CD0" w:rsidP="007F0CD0">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z w:val="20"/>
          <w:szCs w:val="20"/>
        </w:rPr>
        <w:t xml:space="preserve">      </w:t>
      </w:r>
      <w:r w:rsidR="001F67E7" w:rsidRPr="007F0CD0">
        <w:rPr>
          <w:rFonts w:ascii="Times New Roman" w:hAnsi="Times New Roman"/>
          <w:b/>
          <w:bCs/>
          <w:sz w:val="20"/>
          <w:szCs w:val="20"/>
        </w:rPr>
        <w:t>COMPETENŢE SPECIFICE</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p w:rsidR="001F67E7" w:rsidRPr="007F0CD0" w:rsidRDefault="001F67E7" w:rsidP="007F0CD0">
      <w:pPr>
        <w:widowControl w:val="0"/>
        <w:numPr>
          <w:ilvl w:val="0"/>
          <w:numId w:val="43"/>
        </w:numPr>
        <w:overflowPunct w:val="0"/>
        <w:autoSpaceDE w:val="0"/>
        <w:autoSpaceDN w:val="0"/>
        <w:adjustRightInd w:val="0"/>
        <w:spacing w:after="0" w:line="240" w:lineRule="auto"/>
        <w:ind w:hanging="294"/>
        <w:jc w:val="both"/>
        <w:rPr>
          <w:rFonts w:ascii="Times New Roman" w:hAnsi="Times New Roman"/>
          <w:sz w:val="20"/>
          <w:szCs w:val="20"/>
        </w:rPr>
      </w:pPr>
      <w:r w:rsidRPr="007F0CD0">
        <w:rPr>
          <w:rFonts w:ascii="Times New Roman" w:hAnsi="Times New Roman"/>
          <w:sz w:val="20"/>
          <w:szCs w:val="20"/>
        </w:rPr>
        <w:t xml:space="preserve">Cunoaşterea şi aprofundarea de către candidaţi a conţinuturilor ştiinţifice de specialitate şi metodice pentru disciplinele/modulele de specialitate; </w:t>
      </w:r>
    </w:p>
    <w:p w:rsidR="001F67E7" w:rsidRPr="007F0CD0" w:rsidRDefault="001F67E7" w:rsidP="007F0CD0">
      <w:pPr>
        <w:widowControl w:val="0"/>
        <w:numPr>
          <w:ilvl w:val="0"/>
          <w:numId w:val="43"/>
        </w:numPr>
        <w:overflowPunct w:val="0"/>
        <w:autoSpaceDE w:val="0"/>
        <w:autoSpaceDN w:val="0"/>
        <w:adjustRightInd w:val="0"/>
        <w:spacing w:after="0" w:line="240" w:lineRule="auto"/>
        <w:ind w:hanging="294"/>
        <w:jc w:val="both"/>
        <w:rPr>
          <w:rFonts w:ascii="Times New Roman" w:hAnsi="Times New Roman"/>
          <w:sz w:val="20"/>
          <w:szCs w:val="20"/>
        </w:rPr>
      </w:pPr>
      <w:r w:rsidRPr="007F0CD0">
        <w:rPr>
          <w:rFonts w:ascii="Times New Roman" w:hAnsi="Times New Roman"/>
          <w:sz w:val="20"/>
          <w:szCs w:val="20"/>
        </w:rPr>
        <w:t xml:space="preserve">Realizarea de conexiuni între conţinuturile disciplinelor/modulelor de specialitate şi problemele de învăţare specifice domeniului de pregătire; </w:t>
      </w:r>
    </w:p>
    <w:p w:rsidR="001F67E7" w:rsidRPr="007F0CD0" w:rsidRDefault="001F67E7" w:rsidP="007F0CD0">
      <w:pPr>
        <w:widowControl w:val="0"/>
        <w:numPr>
          <w:ilvl w:val="0"/>
          <w:numId w:val="43"/>
        </w:numPr>
        <w:overflowPunct w:val="0"/>
        <w:autoSpaceDE w:val="0"/>
        <w:autoSpaceDN w:val="0"/>
        <w:adjustRightInd w:val="0"/>
        <w:spacing w:after="0" w:line="240" w:lineRule="auto"/>
        <w:ind w:hanging="294"/>
        <w:jc w:val="both"/>
        <w:rPr>
          <w:rFonts w:ascii="Times New Roman" w:hAnsi="Times New Roman"/>
          <w:sz w:val="20"/>
          <w:szCs w:val="20"/>
        </w:rPr>
      </w:pPr>
      <w:r w:rsidRPr="007F0CD0">
        <w:rPr>
          <w:rFonts w:ascii="Times New Roman" w:hAnsi="Times New Roman"/>
          <w:sz w:val="20"/>
          <w:szCs w:val="20"/>
        </w:rPr>
        <w:t xml:space="preserve">Realizarea corelaţiilor intra, inter şi pluridisciplinare a conţinuturilor; </w:t>
      </w:r>
    </w:p>
    <w:p w:rsidR="001F67E7" w:rsidRPr="007F0CD0" w:rsidRDefault="001F67E7" w:rsidP="007F0CD0">
      <w:pPr>
        <w:widowControl w:val="0"/>
        <w:numPr>
          <w:ilvl w:val="0"/>
          <w:numId w:val="43"/>
        </w:numPr>
        <w:overflowPunct w:val="0"/>
        <w:autoSpaceDE w:val="0"/>
        <w:autoSpaceDN w:val="0"/>
        <w:adjustRightInd w:val="0"/>
        <w:spacing w:after="0" w:line="240" w:lineRule="auto"/>
        <w:ind w:hanging="294"/>
        <w:jc w:val="both"/>
        <w:rPr>
          <w:rFonts w:ascii="Times New Roman" w:hAnsi="Times New Roman"/>
          <w:sz w:val="20"/>
          <w:szCs w:val="20"/>
        </w:rPr>
      </w:pPr>
      <w:r w:rsidRPr="007F0CD0">
        <w:rPr>
          <w:rFonts w:ascii="Times New Roman" w:hAnsi="Times New Roman"/>
          <w:sz w:val="20"/>
          <w:szCs w:val="20"/>
        </w:rPr>
        <w:t xml:space="preserve">Operarea cu standardele de pregătire profesională şi programele şcolare pentru proiectarea unui demers didactic adaptat nivelului de învăţământ, calificării şi specificului clasei;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bookmarkStart w:id="0" w:name="page7"/>
      <w:bookmarkEnd w:id="0"/>
      <w:r w:rsidRPr="007F0CD0">
        <w:rPr>
          <w:rFonts w:ascii="Times New Roman" w:hAnsi="Times New Roman"/>
          <w:sz w:val="20"/>
          <w:szCs w:val="20"/>
        </w:rPr>
        <w:t xml:space="preserve">Utilizarea tehnologiilor informaţionale în demersul didactic;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Aplicarea adecvată a principiilor şi metodelor specifice didacticii disciplinelor/ modulelor tehnologice;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Elaborarea, selectarea şi aplicarea unor metode de evaluare adecvate obiectivelor sau competenţelor vizate;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Comunicarea eficientă cu partenerii în activitatea educaţională;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Aplicarea unor forme de management al clasei în funcţie de activitatea de învăţare proiectată;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Transmiterea, în funcţie de particularităţile de vârstă ale elevilor, a conţinuturilor astfel încât să dezvolte structuri operatorii, afective şi atitudinale;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Dezvoltarea competenţele civice şi interpersonale ale elevilor şi conduita antreprenorială a acestora; </w:t>
      </w:r>
    </w:p>
    <w:p w:rsidR="001F67E7" w:rsidRPr="007F0CD0" w:rsidRDefault="001F67E7" w:rsidP="007F0CD0">
      <w:pPr>
        <w:widowControl w:val="0"/>
        <w:numPr>
          <w:ilvl w:val="3"/>
          <w:numId w:val="44"/>
        </w:numPr>
        <w:overflowPunct w:val="0"/>
        <w:autoSpaceDE w:val="0"/>
        <w:autoSpaceDN w:val="0"/>
        <w:adjustRightInd w:val="0"/>
        <w:spacing w:after="0" w:line="240" w:lineRule="auto"/>
        <w:ind w:left="709" w:hanging="283"/>
        <w:jc w:val="both"/>
        <w:rPr>
          <w:rFonts w:ascii="Times New Roman" w:hAnsi="Times New Roman"/>
          <w:sz w:val="20"/>
          <w:szCs w:val="20"/>
        </w:rPr>
      </w:pPr>
      <w:r w:rsidRPr="007F0CD0">
        <w:rPr>
          <w:rFonts w:ascii="Times New Roman" w:hAnsi="Times New Roman"/>
          <w:sz w:val="20"/>
          <w:szCs w:val="20"/>
        </w:rPr>
        <w:t xml:space="preserve">Stimularea potenţialului fiecărui elev şi dezvoltarea creativităţii. </w:t>
      </w:r>
    </w:p>
    <w:p w:rsidR="001F67E7" w:rsidRPr="007F0CD0" w:rsidRDefault="001F67E7" w:rsidP="007F0CD0">
      <w:pPr>
        <w:tabs>
          <w:tab w:val="num" w:pos="567"/>
        </w:tabs>
        <w:spacing w:after="0" w:line="240" w:lineRule="auto"/>
        <w:ind w:hanging="1299"/>
        <w:rPr>
          <w:rFonts w:ascii="Times New Roman" w:hAnsi="Times New Roman"/>
          <w:sz w:val="20"/>
          <w:szCs w:val="20"/>
        </w:rPr>
      </w:pPr>
    </w:p>
    <w:p w:rsidR="001F67E7" w:rsidRPr="007F0CD0" w:rsidRDefault="001F67E7" w:rsidP="007F0CD0">
      <w:pPr>
        <w:pStyle w:val="Heading22"/>
        <w:jc w:val="center"/>
        <w:rPr>
          <w:b/>
          <w:bCs/>
          <w:color w:val="000000"/>
          <w:sz w:val="20"/>
          <w:szCs w:val="20"/>
          <w:lang w:val="ro-RO"/>
        </w:rPr>
      </w:pPr>
      <w:r w:rsidRPr="007F0CD0">
        <w:rPr>
          <w:b/>
          <w:bCs/>
          <w:color w:val="000000"/>
          <w:sz w:val="20"/>
          <w:szCs w:val="20"/>
          <w:lang w:val="ro-RO"/>
        </w:rPr>
        <w:t>3. TEMATICA DIDACTICĂ A DISCIPLINEI</w:t>
      </w:r>
    </w:p>
    <w:p w:rsidR="001F67E7" w:rsidRPr="007F0CD0" w:rsidRDefault="001F67E7" w:rsidP="007F0CD0">
      <w:pPr>
        <w:spacing w:after="0" w:line="240" w:lineRule="auto"/>
        <w:rPr>
          <w:rFonts w:ascii="Times New Roman" w:hAnsi="Times New Roman"/>
          <w:sz w:val="20"/>
          <w:szCs w:val="20"/>
        </w:rPr>
      </w:pPr>
    </w:p>
    <w:p w:rsidR="001F67E7" w:rsidRPr="007F0CD0" w:rsidRDefault="001F67E7" w:rsidP="007F0CD0">
      <w:pPr>
        <w:autoSpaceDE w:val="0"/>
        <w:autoSpaceDN w:val="0"/>
        <w:adjustRightInd w:val="0"/>
        <w:spacing w:after="0" w:line="240" w:lineRule="auto"/>
        <w:ind w:firstLine="644"/>
        <w:jc w:val="both"/>
        <w:rPr>
          <w:rFonts w:ascii="Times New Roman" w:hAnsi="Times New Roman"/>
          <w:color w:val="000000"/>
          <w:sz w:val="20"/>
          <w:szCs w:val="20"/>
        </w:rPr>
      </w:pPr>
      <w:r w:rsidRPr="007F0CD0">
        <w:rPr>
          <w:rFonts w:ascii="Times New Roman" w:hAnsi="Times New Roman"/>
          <w:bCs/>
          <w:color w:val="000000"/>
          <w:sz w:val="20"/>
          <w:szCs w:val="20"/>
        </w:rPr>
        <w:t>1. Locul şi rolul disciplinelor/modulelor de specialitate în învăţământul preuniversitar</w:t>
      </w:r>
      <w:r w:rsidRPr="007F0CD0">
        <w:rPr>
          <w:rFonts w:ascii="Times New Roman" w:hAnsi="Times New Roman"/>
          <w:color w:val="000000"/>
          <w:sz w:val="20"/>
          <w:szCs w:val="20"/>
        </w:rPr>
        <w:t xml:space="preserve">. </w:t>
      </w:r>
      <w:r w:rsidRPr="007F0CD0">
        <w:rPr>
          <w:rFonts w:ascii="Times New Roman" w:hAnsi="Times New Roman"/>
          <w:bCs/>
          <w:color w:val="000000"/>
          <w:sz w:val="20"/>
          <w:szCs w:val="20"/>
        </w:rPr>
        <w:t>Construirea demersurilor didactice pentru realizarea unui învăţământ centrat pe elev.</w:t>
      </w:r>
    </w:p>
    <w:p w:rsidR="001F67E7" w:rsidRPr="007F0CD0" w:rsidRDefault="001F67E7" w:rsidP="007F0CD0">
      <w:pPr>
        <w:numPr>
          <w:ilvl w:val="1"/>
          <w:numId w:val="42"/>
        </w:numPr>
        <w:autoSpaceDE w:val="0"/>
        <w:autoSpaceDN w:val="0"/>
        <w:adjustRightInd w:val="0"/>
        <w:spacing w:after="0" w:line="240" w:lineRule="auto"/>
        <w:ind w:left="644" w:hanging="360"/>
        <w:jc w:val="both"/>
        <w:rPr>
          <w:rFonts w:ascii="Times New Roman" w:hAnsi="Times New Roman"/>
          <w:b/>
          <w:color w:val="000000"/>
          <w:sz w:val="20"/>
          <w:szCs w:val="20"/>
        </w:rPr>
      </w:pPr>
      <w:r w:rsidRPr="007F0CD0">
        <w:rPr>
          <w:rFonts w:ascii="Times New Roman" w:hAnsi="Times New Roman"/>
          <w:color w:val="000000"/>
          <w:sz w:val="20"/>
          <w:szCs w:val="20"/>
        </w:rPr>
        <w:t xml:space="preserve">2. Curriculumul şcolar: </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a) elemente componente (curriculum naţional, planuri-cadru, arii curriculare, trunchi comun, discipline, module);</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b)  documente curriculare (standarde de pregătire profesională, planuri-cadru şi planuri de învăţământ, programe şcolare, manuale şcolare, auxiliare curriculare);</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c) obiectivele predării – învăţării – evaluării la disciplinele/modulele din aria curriculară “Tehnologii”. Competenţe generale, competenţe specifice, unităţi de competenţă şi competenţe.</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 xml:space="preserve">d) proiectarea curriculumului în dezvoltare locală sau la decizia şcolii de tipul:  aprofundare/extindere/opţional ca disciplină nouă; </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 xml:space="preserve">3. Operaţionalizarea obiectivelor didactice: proceduri de operaţionalizare şi exemple. </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4. Relaţia între competenţe şi conţinuturi de instruire.</w:t>
      </w:r>
    </w:p>
    <w:p w:rsidR="001F67E7" w:rsidRPr="007F0CD0" w:rsidRDefault="001F67E7" w:rsidP="007F0CD0">
      <w:pPr>
        <w:spacing w:after="0" w:line="240" w:lineRule="auto"/>
        <w:ind w:firstLine="644"/>
        <w:jc w:val="both"/>
        <w:rPr>
          <w:rFonts w:ascii="Times New Roman" w:hAnsi="Times New Roman"/>
          <w:color w:val="000000"/>
          <w:sz w:val="20"/>
          <w:szCs w:val="20"/>
        </w:rPr>
      </w:pPr>
      <w:r w:rsidRPr="007F0CD0">
        <w:rPr>
          <w:rFonts w:ascii="Times New Roman" w:hAnsi="Times New Roman"/>
          <w:color w:val="000000"/>
          <w:sz w:val="20"/>
          <w:szCs w:val="20"/>
        </w:rPr>
        <w:t>5. Metode şi procedee de predare-învăţare:</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a) clasificarea şi caracteristicile principalelor grupe de metode de învăţământ;</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b) exemplificări de aplicare a unor metode specifice disciplinelor/modulelor de specialitate;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c) utilizarea </w:t>
      </w:r>
      <w:r w:rsidRPr="007F0CD0">
        <w:rPr>
          <w:rFonts w:ascii="Times New Roman" w:hAnsi="Times New Roman"/>
          <w:color w:val="000000"/>
          <w:sz w:val="20"/>
          <w:szCs w:val="20"/>
        </w:rPr>
        <w:tab/>
        <w:t>metodelor de predare active – participative, centrate pe elev/tehnicilor de învăţare prin cooperare: metoda proiectului; studiul de caz; jocul de rol; brainstorming-ul; lucrul în echipă; problematizarea;</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d) utilizarea tehnologiilor informatice şi de comunicare în procesul didactic; exemplificări;</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6. Mijloacele de învăţământ şi integrarea lor în procesul de predare-învăţare-evaluare:</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a)  funcţiile didactice ale mijloacelor de învăţământ;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b) tipuri de mijloace de învăţământ şi caracteristicile lor; exemplificări.</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7. Medii de instruire reale şi virtuale: cabinete, laboratoare, ateliere, complexe multimedia, săli de clasă, târguri şi expoziţii, agenți economici (descriere şi condiţii de utilizare);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8. Forme de organizare a activităţii didactice: lecţia şi variantele de lecţii; alte forme de organizare (cercurile de elevi, consultaţiile, vizitele şi excursiile etc.).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lastRenderedPageBreak/>
        <w:t xml:space="preserve">9. Evaluarea rezultatelor şcolare în concordanţă cu obiectivele curriculare şi criteriile de performanţă din standardele de pregătire profesională; </w:t>
      </w:r>
    </w:p>
    <w:p w:rsidR="001F67E7" w:rsidRPr="007F0CD0" w:rsidRDefault="001F67E7" w:rsidP="007F0CD0">
      <w:pPr>
        <w:spacing w:after="0" w:line="240" w:lineRule="auto"/>
        <w:jc w:val="both"/>
        <w:rPr>
          <w:rFonts w:ascii="Times New Roman" w:hAnsi="Times New Roman"/>
          <w:color w:val="000000"/>
          <w:sz w:val="20"/>
          <w:szCs w:val="20"/>
        </w:rPr>
      </w:pPr>
      <w:r w:rsidRPr="007F0CD0">
        <w:rPr>
          <w:rFonts w:ascii="Times New Roman" w:hAnsi="Times New Roman"/>
          <w:color w:val="000000"/>
          <w:sz w:val="20"/>
          <w:szCs w:val="20"/>
        </w:rPr>
        <w:t xml:space="preserve">            a) evaluarea, componentă fundamentală a procesului de învăţământ: definire, funcţii; </w:t>
      </w:r>
    </w:p>
    <w:p w:rsidR="001F67E7" w:rsidRPr="007F0CD0" w:rsidRDefault="001F67E7" w:rsidP="007F0CD0">
      <w:pPr>
        <w:spacing w:after="0" w:line="240" w:lineRule="auto"/>
        <w:jc w:val="both"/>
        <w:rPr>
          <w:rFonts w:ascii="Times New Roman" w:hAnsi="Times New Roman"/>
          <w:color w:val="000000"/>
          <w:sz w:val="20"/>
          <w:szCs w:val="20"/>
        </w:rPr>
      </w:pPr>
      <w:r w:rsidRPr="007F0CD0">
        <w:rPr>
          <w:rFonts w:ascii="Times New Roman" w:hAnsi="Times New Roman"/>
          <w:color w:val="000000"/>
          <w:sz w:val="20"/>
          <w:szCs w:val="20"/>
        </w:rPr>
        <w:tab/>
        <w:t>b) metode şi tehnici de evaluare;</w:t>
      </w:r>
    </w:p>
    <w:p w:rsidR="001F67E7" w:rsidRPr="007F0CD0" w:rsidRDefault="001F67E7" w:rsidP="007F0CD0">
      <w:pPr>
        <w:spacing w:after="0" w:line="240" w:lineRule="auto"/>
        <w:jc w:val="both"/>
        <w:rPr>
          <w:rFonts w:ascii="Times New Roman" w:hAnsi="Times New Roman"/>
          <w:color w:val="000000"/>
          <w:sz w:val="20"/>
          <w:szCs w:val="20"/>
        </w:rPr>
      </w:pPr>
      <w:r w:rsidRPr="007F0CD0">
        <w:rPr>
          <w:rFonts w:ascii="Times New Roman" w:hAnsi="Times New Roman"/>
          <w:color w:val="000000"/>
          <w:sz w:val="20"/>
          <w:szCs w:val="20"/>
        </w:rPr>
        <w:tab/>
        <w:t>c) erori în evaluare şi modalităţi de minimizare a lor;</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d) construirea instrumentelor de evaluare (teste, chestionare, fişe etc.);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e) calităţile  instrumentelor de evaluare: validitate, fidelitate, obiectivitate şi aplicabilitate;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 xml:space="preserve">f) tipologia itemilor: definiţie, clasificări, caracteristici, domenii de utilizare, reguli de </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proiectare, modalităţi de corectare şi notare.</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10. Proiectarea demersului didactic: planificare calendaristică, proiectarea unităţii de învăţare, proiectarea lecţiei (pentru diferite tipuri de lecţii).</w:t>
      </w:r>
    </w:p>
    <w:p w:rsidR="001F67E7" w:rsidRPr="007F0CD0" w:rsidRDefault="001F67E7" w:rsidP="007F0CD0">
      <w:pPr>
        <w:spacing w:after="0" w:line="240" w:lineRule="auto"/>
        <w:ind w:firstLine="720"/>
        <w:jc w:val="both"/>
        <w:rPr>
          <w:rFonts w:ascii="Times New Roman" w:hAnsi="Times New Roman"/>
          <w:color w:val="000000"/>
          <w:sz w:val="20"/>
          <w:szCs w:val="20"/>
        </w:rPr>
      </w:pPr>
      <w:r w:rsidRPr="007F0CD0">
        <w:rPr>
          <w:rFonts w:ascii="Times New Roman" w:hAnsi="Times New Roman"/>
          <w:color w:val="000000"/>
          <w:sz w:val="20"/>
          <w:szCs w:val="20"/>
        </w:rPr>
        <w:t>11. Modalităţi de adaptare a procesului instructiv-educativ în vederea integrării elevilor cu cerinţe educaţionale speciale (CES).</w:t>
      </w:r>
    </w:p>
    <w:p w:rsidR="001F67E7" w:rsidRPr="007F0CD0" w:rsidRDefault="001F67E7" w:rsidP="007F0CD0">
      <w:pPr>
        <w:spacing w:after="0" w:line="240" w:lineRule="auto"/>
        <w:ind w:firstLine="720"/>
        <w:jc w:val="both"/>
        <w:rPr>
          <w:rFonts w:ascii="Times New Roman" w:hAnsi="Times New Roman"/>
          <w:sz w:val="20"/>
          <w:szCs w:val="20"/>
        </w:rPr>
      </w:pPr>
      <w:r w:rsidRPr="007F0CD0">
        <w:rPr>
          <w:rFonts w:ascii="Times New Roman" w:hAnsi="Times New Roman"/>
          <w:sz w:val="20"/>
          <w:szCs w:val="20"/>
        </w:rPr>
        <w:t>12. Pregătirea profesorului pentru activitatea didactică (profesională de specialitate, psihopedagogică şi metodică).</w:t>
      </w:r>
    </w:p>
    <w:p w:rsidR="00A82F67" w:rsidRPr="007F0CD0" w:rsidRDefault="00A82F67" w:rsidP="007F0CD0">
      <w:pPr>
        <w:spacing w:after="0" w:line="240" w:lineRule="auto"/>
        <w:ind w:left="360"/>
        <w:jc w:val="both"/>
        <w:rPr>
          <w:rFonts w:ascii="Times New Roman" w:hAnsi="Times New Roman"/>
          <w:sz w:val="20"/>
          <w:szCs w:val="20"/>
        </w:rPr>
      </w:pPr>
    </w:p>
    <w:p w:rsidR="00A82F67" w:rsidRPr="007F0CD0" w:rsidRDefault="00A82F67" w:rsidP="007F0CD0">
      <w:pPr>
        <w:spacing w:after="0" w:line="240" w:lineRule="auto"/>
        <w:jc w:val="center"/>
        <w:rPr>
          <w:rFonts w:ascii="Times New Roman" w:hAnsi="Times New Roman"/>
          <w:b/>
          <w:sz w:val="20"/>
          <w:szCs w:val="20"/>
        </w:rPr>
      </w:pPr>
      <w:r w:rsidRPr="007F0CD0">
        <w:rPr>
          <w:rFonts w:ascii="Times New Roman" w:hAnsi="Times New Roman"/>
          <w:b/>
          <w:sz w:val="20"/>
          <w:szCs w:val="20"/>
        </w:rPr>
        <w:t>IV. BIBLIOGRAFIE</w:t>
      </w:r>
    </w:p>
    <w:p w:rsidR="00996F79" w:rsidRPr="007F0CD0" w:rsidRDefault="00996F79" w:rsidP="007F0CD0">
      <w:pPr>
        <w:spacing w:after="0" w:line="240" w:lineRule="auto"/>
        <w:jc w:val="center"/>
        <w:rPr>
          <w:rFonts w:ascii="Times New Roman" w:hAnsi="Times New Roman"/>
          <w:b/>
          <w:sz w:val="20"/>
          <w:szCs w:val="20"/>
        </w:rPr>
      </w:pPr>
    </w:p>
    <w:p w:rsidR="00A82F67" w:rsidRPr="007F0CD0" w:rsidRDefault="00A82F67" w:rsidP="007F0CD0">
      <w:pPr>
        <w:spacing w:after="0" w:line="240" w:lineRule="auto"/>
        <w:ind w:firstLine="426"/>
        <w:rPr>
          <w:rFonts w:ascii="Times New Roman" w:hAnsi="Times New Roman"/>
          <w:b/>
          <w:sz w:val="20"/>
          <w:szCs w:val="20"/>
        </w:rPr>
      </w:pPr>
      <w:r w:rsidRPr="007F0CD0">
        <w:rPr>
          <w:rFonts w:ascii="Times New Roman" w:hAnsi="Times New Roman"/>
          <w:b/>
          <w:sz w:val="20"/>
          <w:szCs w:val="20"/>
        </w:rPr>
        <w:t>CONTABILITATE</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Caraiani C., Dumitrana M.</w:t>
      </w:r>
      <w:r w:rsidR="00996F79" w:rsidRPr="007F0CD0">
        <w:rPr>
          <w:rFonts w:ascii="Times New Roman" w:eastAsia="Times New Roman" w:hAnsi="Times New Roman"/>
          <w:sz w:val="20"/>
          <w:szCs w:val="20"/>
          <w:lang w:eastAsia="ro-RO"/>
        </w:rPr>
        <w:t xml:space="preserve"> (</w:t>
      </w:r>
      <w:r w:rsidRPr="007F0CD0">
        <w:rPr>
          <w:rFonts w:ascii="Times New Roman" w:eastAsia="Times New Roman" w:hAnsi="Times New Roman"/>
          <w:sz w:val="20"/>
          <w:szCs w:val="20"/>
          <w:lang w:eastAsia="ro-RO"/>
        </w:rPr>
        <w:t>coordonatori)</w:t>
      </w:r>
      <w:r w:rsidR="00996F79" w:rsidRPr="007F0CD0">
        <w:rPr>
          <w:rFonts w:ascii="Times New Roman" w:eastAsia="Times New Roman" w:hAnsi="Times New Roman"/>
          <w:sz w:val="20"/>
          <w:szCs w:val="20"/>
          <w:lang w:eastAsia="ro-RO"/>
        </w:rPr>
        <w:t xml:space="preserve">, </w:t>
      </w:r>
      <w:r w:rsidRPr="007F0CD0">
        <w:rPr>
          <w:rFonts w:ascii="Times New Roman" w:eastAsia="Times New Roman" w:hAnsi="Times New Roman"/>
          <w:sz w:val="20"/>
          <w:szCs w:val="20"/>
          <w:lang w:eastAsia="ro-RO"/>
        </w:rPr>
        <w:t>Bazele contabilității, Editura Universitară, București, 2011;</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Caraiani C., Dumitrana M.</w:t>
      </w:r>
      <w:r w:rsidR="00996F79" w:rsidRPr="007F0CD0">
        <w:rPr>
          <w:rFonts w:ascii="Times New Roman" w:eastAsia="Times New Roman" w:hAnsi="Times New Roman"/>
          <w:sz w:val="20"/>
          <w:szCs w:val="20"/>
          <w:lang w:eastAsia="ro-RO"/>
        </w:rPr>
        <w:t xml:space="preserve"> (</w:t>
      </w:r>
      <w:r w:rsidRPr="007F0CD0">
        <w:rPr>
          <w:rFonts w:ascii="Times New Roman" w:eastAsia="Times New Roman" w:hAnsi="Times New Roman"/>
          <w:sz w:val="20"/>
          <w:szCs w:val="20"/>
          <w:lang w:eastAsia="ro-RO"/>
        </w:rPr>
        <w:t>coordonatori)</w:t>
      </w:r>
      <w:r w:rsidR="00996F79" w:rsidRPr="007F0CD0">
        <w:rPr>
          <w:rFonts w:ascii="Times New Roman" w:eastAsia="Times New Roman" w:hAnsi="Times New Roman"/>
          <w:sz w:val="20"/>
          <w:szCs w:val="20"/>
          <w:lang w:eastAsia="ro-RO"/>
        </w:rPr>
        <w:t xml:space="preserve">, </w:t>
      </w:r>
      <w:r w:rsidRPr="007F0CD0">
        <w:rPr>
          <w:rFonts w:ascii="Times New Roman" w:eastAsia="Times New Roman" w:hAnsi="Times New Roman"/>
          <w:sz w:val="20"/>
          <w:szCs w:val="20"/>
          <w:lang w:eastAsia="ro-RO"/>
        </w:rPr>
        <w:t>Bazele contabilității. Aplicații și studii de caz, Editura Universitară, București, 2011;</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Caraiani C., Dumitrana M.( coordonato</w:t>
      </w:r>
      <w:r w:rsidR="00996F79" w:rsidRPr="007F0CD0">
        <w:rPr>
          <w:rFonts w:ascii="Times New Roman" w:eastAsia="Times New Roman" w:hAnsi="Times New Roman"/>
          <w:sz w:val="20"/>
          <w:szCs w:val="20"/>
          <w:lang w:eastAsia="ro-RO"/>
        </w:rPr>
        <w:t>ri), Contabilitate de gestiune&amp;</w:t>
      </w:r>
      <w:r w:rsidRPr="007F0CD0">
        <w:rPr>
          <w:rFonts w:ascii="Times New Roman" w:eastAsia="Times New Roman" w:hAnsi="Times New Roman"/>
          <w:sz w:val="20"/>
          <w:szCs w:val="20"/>
          <w:lang w:eastAsia="ro-RO"/>
        </w:rPr>
        <w:t>control de gestiune, Editura Universitară, București, 2008;</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Lungu C., Caraiani C., Dascalu C., Introducere în contabilitate, Editura ASE, Bucuresti, 2013;</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Ristea M. (coordonator), Contabilitatea societ</w:t>
      </w:r>
      <w:r w:rsidR="00996F79" w:rsidRPr="007F0CD0">
        <w:rPr>
          <w:rFonts w:ascii="Times New Roman" w:eastAsia="Times New Roman" w:hAnsi="Times New Roman"/>
          <w:sz w:val="20"/>
          <w:szCs w:val="20"/>
          <w:lang w:eastAsia="ro-RO"/>
        </w:rPr>
        <w:t>ăţ</w:t>
      </w:r>
      <w:r w:rsidRPr="007F0CD0">
        <w:rPr>
          <w:rFonts w:ascii="Times New Roman" w:eastAsia="Times New Roman" w:hAnsi="Times New Roman"/>
          <w:sz w:val="20"/>
          <w:szCs w:val="20"/>
          <w:lang w:eastAsia="ro-RO"/>
        </w:rPr>
        <w:t>ilor comerciale, Editura Universitara, Bucuresti, 2009;</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Legea contabilităţii nr. 82/1991, republicată în Monitorul Oficial al României, Partea I, nr. 454 din 18 iunie 2008, cu modificările şi completările ulterioare;</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Ordinul ministrului finanțelor publice nr. 1802/2014 pentru aprobarea Reglementarilor contabile privind situațiile financiare anuale individuale și situațtii financiare anuale consolidate;</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Ordinul nr. 65/2015 privind principalele aspecte legate de întocmirea şi depunerea situaţiilor financiare anuale şi a raportărilor contabile anuale ale operatorilor economici la unităţile teritoriale ale Ministerului Finanţelor Publice;</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xml:space="preserve"> *** Ordinul ministrului finanţelor publice nr. 2.861/2009 pentru aprobarea Normelor privind organizarea şi efectuarea inventarierii elementelor de natura activelor, datoriilor şi capitalurilor proprii, publicat în Monitorul Oficial al României, Partea I, nr. 704 din 20 octombrie 2009;</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xml:space="preserve">*** Ordinul ministrului economiei şi finanţelor nr. 3.512/2008 privind documentele financiar-contabile, publicat în Monitorul Oficial al României, Partea I, nr. 870 şi 870 bis din 23 decembrie 2008, cu completările ulterioare; </w:t>
      </w:r>
    </w:p>
    <w:p w:rsidR="00A82F67" w:rsidRPr="007F0CD0" w:rsidRDefault="00A82F67" w:rsidP="007F0CD0">
      <w:pPr>
        <w:numPr>
          <w:ilvl w:val="0"/>
          <w:numId w:val="4"/>
        </w:numPr>
        <w:tabs>
          <w:tab w:val="clear" w:pos="720"/>
          <w:tab w:val="num" w:pos="360"/>
          <w:tab w:val="num" w:pos="426"/>
        </w:tabs>
        <w:spacing w:after="0" w:line="240" w:lineRule="auto"/>
        <w:ind w:left="426" w:firstLine="0"/>
        <w:jc w:val="both"/>
        <w:rPr>
          <w:rFonts w:ascii="Times New Roman" w:eastAsia="Times New Roman" w:hAnsi="Times New Roman"/>
          <w:sz w:val="20"/>
          <w:szCs w:val="20"/>
          <w:lang w:eastAsia="ro-RO"/>
        </w:rPr>
      </w:pPr>
      <w:r w:rsidRPr="007F0CD0">
        <w:rPr>
          <w:rFonts w:ascii="Times New Roman" w:eastAsia="Times New Roman" w:hAnsi="Times New Roman"/>
          <w:sz w:val="20"/>
          <w:szCs w:val="20"/>
          <w:lang w:eastAsia="ro-RO"/>
        </w:rPr>
        <w:t>*** Ordinul ministrului finanţelor publice nr. 1.826/2003 pentru aprobarea Precizărilor privind unele măsuri referitoare la organizarea şi conducerea contabilităţii de gestiune, publicat în Monitorul Oficial al României, Partea I, nr. 23 din 12 ianuarie 2004;</w:t>
      </w:r>
    </w:p>
    <w:p w:rsidR="007F0CD0" w:rsidRDefault="007F0CD0" w:rsidP="007F0CD0">
      <w:pPr>
        <w:spacing w:after="0" w:line="240" w:lineRule="auto"/>
        <w:ind w:firstLine="426"/>
        <w:rPr>
          <w:rFonts w:ascii="Times New Roman" w:hAnsi="Times New Roman"/>
          <w:b/>
          <w:sz w:val="20"/>
          <w:szCs w:val="20"/>
        </w:rPr>
      </w:pPr>
    </w:p>
    <w:p w:rsidR="00A82F67" w:rsidRPr="007F0CD0" w:rsidRDefault="00A82F67" w:rsidP="007F0CD0">
      <w:pPr>
        <w:spacing w:after="0" w:line="240" w:lineRule="auto"/>
        <w:ind w:firstLine="426"/>
        <w:rPr>
          <w:rFonts w:ascii="Times New Roman" w:hAnsi="Times New Roman"/>
          <w:b/>
          <w:sz w:val="20"/>
          <w:szCs w:val="20"/>
        </w:rPr>
      </w:pPr>
      <w:r w:rsidRPr="007F0CD0">
        <w:rPr>
          <w:rFonts w:ascii="Times New Roman" w:hAnsi="Times New Roman"/>
          <w:b/>
          <w:sz w:val="20"/>
          <w:szCs w:val="20"/>
        </w:rPr>
        <w:t>FINANȚE</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Badea D., Novac L., Tudor B., Manualul agentului de asigurări, Ed. Economică, Bucureşti, 2008</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Dardac N.; Barbu T. C., Monedă, Ed. ASE, Bucureşti, 2009</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Dardac N.; Barbu T. C .,Instituţii de credit, Ed. ASE, Bucureşti, 2012</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Moşteanu T., Vuţă M., Câmpeanu E., Catarama D.,</w:t>
      </w:r>
      <w:r w:rsidR="00996F79" w:rsidRPr="007F0CD0">
        <w:rPr>
          <w:rFonts w:ascii="Times New Roman" w:hAnsi="Times New Roman"/>
          <w:sz w:val="20"/>
          <w:szCs w:val="20"/>
        </w:rPr>
        <w:t xml:space="preserve"> </w:t>
      </w:r>
      <w:r w:rsidRPr="007F0CD0">
        <w:rPr>
          <w:rFonts w:ascii="Times New Roman" w:hAnsi="Times New Roman"/>
          <w:sz w:val="20"/>
          <w:szCs w:val="20"/>
        </w:rPr>
        <w:t xml:space="preserve">Gyorgy A.,  Buget şi trezorerie publică, Ed. </w:t>
      </w:r>
      <w:r w:rsidRPr="007F0CD0">
        <w:rPr>
          <w:rFonts w:ascii="Times New Roman" w:hAnsi="Times New Roman"/>
          <w:sz w:val="20"/>
          <w:szCs w:val="20"/>
          <w:lang w:val="it-IT"/>
        </w:rPr>
        <w:t xml:space="preserve">Universitara, Bucureşti,  </w:t>
      </w:r>
      <w:r w:rsidRPr="007F0CD0">
        <w:rPr>
          <w:rFonts w:ascii="Times New Roman" w:hAnsi="Times New Roman"/>
          <w:sz w:val="20"/>
          <w:szCs w:val="20"/>
          <w:lang w:eastAsia="ro-RO"/>
        </w:rPr>
        <w:t>2008</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Stancu I., Finanţe, ed</w:t>
      </w:r>
      <w:r w:rsidR="00996F79" w:rsidRPr="007F0CD0">
        <w:rPr>
          <w:rFonts w:ascii="Times New Roman" w:hAnsi="Times New Roman"/>
          <w:sz w:val="20"/>
          <w:szCs w:val="20"/>
        </w:rPr>
        <w:t>iţia</w:t>
      </w:r>
      <w:r w:rsidRPr="007F0CD0">
        <w:rPr>
          <w:rFonts w:ascii="Times New Roman" w:hAnsi="Times New Roman"/>
          <w:sz w:val="20"/>
          <w:szCs w:val="20"/>
        </w:rPr>
        <w:t xml:space="preserve"> </w:t>
      </w:r>
      <w:r w:rsidR="00996F79" w:rsidRPr="007F0CD0">
        <w:rPr>
          <w:rFonts w:ascii="Times New Roman" w:hAnsi="Times New Roman"/>
          <w:sz w:val="20"/>
          <w:szCs w:val="20"/>
        </w:rPr>
        <w:t>a</w:t>
      </w:r>
      <w:r w:rsidRPr="007F0CD0">
        <w:rPr>
          <w:rFonts w:ascii="Times New Roman" w:hAnsi="Times New Roman"/>
          <w:sz w:val="20"/>
          <w:szCs w:val="20"/>
        </w:rPr>
        <w:t xml:space="preserve"> IV</w:t>
      </w:r>
      <w:r w:rsidR="00996F79" w:rsidRPr="007F0CD0">
        <w:rPr>
          <w:rFonts w:ascii="Times New Roman" w:hAnsi="Times New Roman"/>
          <w:sz w:val="20"/>
          <w:szCs w:val="20"/>
        </w:rPr>
        <w:t>-</w:t>
      </w:r>
      <w:r w:rsidRPr="007F0CD0">
        <w:rPr>
          <w:rFonts w:ascii="Times New Roman" w:hAnsi="Times New Roman"/>
          <w:sz w:val="20"/>
          <w:szCs w:val="20"/>
        </w:rPr>
        <w:t>a, partea a IV</w:t>
      </w:r>
      <w:r w:rsidR="00996F79" w:rsidRPr="007F0CD0">
        <w:rPr>
          <w:rFonts w:ascii="Times New Roman" w:hAnsi="Times New Roman"/>
          <w:sz w:val="20"/>
          <w:szCs w:val="20"/>
        </w:rPr>
        <w:t>-</w:t>
      </w:r>
      <w:r w:rsidRPr="007F0CD0">
        <w:rPr>
          <w:rFonts w:ascii="Times New Roman" w:hAnsi="Times New Roman"/>
          <w:sz w:val="20"/>
          <w:szCs w:val="20"/>
        </w:rPr>
        <w:t>a , Ed. Economică, Bucure</w:t>
      </w:r>
      <w:r w:rsidR="00996F79" w:rsidRPr="007F0CD0">
        <w:rPr>
          <w:rFonts w:ascii="Times New Roman" w:hAnsi="Times New Roman"/>
          <w:sz w:val="20"/>
          <w:szCs w:val="20"/>
        </w:rPr>
        <w:t>ş</w:t>
      </w:r>
      <w:r w:rsidRPr="007F0CD0">
        <w:rPr>
          <w:rFonts w:ascii="Times New Roman" w:hAnsi="Times New Roman"/>
          <w:sz w:val="20"/>
          <w:szCs w:val="20"/>
        </w:rPr>
        <w:t>ti, 2007</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Vacarel I. (coord.) e</w:t>
      </w:r>
      <w:r w:rsidR="00996F79" w:rsidRPr="007F0CD0">
        <w:rPr>
          <w:rFonts w:ascii="Times New Roman" w:hAnsi="Times New Roman"/>
          <w:sz w:val="20"/>
          <w:szCs w:val="20"/>
        </w:rPr>
        <w:t xml:space="preserve">diţia l, </w:t>
      </w:r>
      <w:r w:rsidRPr="007F0CD0">
        <w:rPr>
          <w:rFonts w:ascii="Times New Roman" w:hAnsi="Times New Roman"/>
          <w:sz w:val="20"/>
          <w:szCs w:val="20"/>
        </w:rPr>
        <w:t>Finanţe publice, ed. VI,  EDP, Bucure</w:t>
      </w:r>
      <w:r w:rsidR="00996F79" w:rsidRPr="007F0CD0">
        <w:rPr>
          <w:rFonts w:ascii="Times New Roman" w:hAnsi="Times New Roman"/>
          <w:sz w:val="20"/>
          <w:szCs w:val="20"/>
        </w:rPr>
        <w:t>ş</w:t>
      </w:r>
      <w:r w:rsidRPr="007F0CD0">
        <w:rPr>
          <w:rFonts w:ascii="Times New Roman" w:hAnsi="Times New Roman"/>
          <w:sz w:val="20"/>
          <w:szCs w:val="20"/>
        </w:rPr>
        <w:t>ti, 2007</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Văcărel I., Bercea F., Asigurări şi reasigurări, Ed. Expert, Bucureşti, 2007</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 Legea nr. 500/2002 privind finanţele publice publicată în M.O. nr . 597/2002 cu toate modificările şi completările ulterioare</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 Legea nr. 273/ 2006 privind finanţele publice  locale  publicată</w:t>
      </w:r>
      <w:r w:rsidR="00996F79" w:rsidRPr="007F0CD0">
        <w:rPr>
          <w:rFonts w:ascii="Times New Roman" w:hAnsi="Times New Roman"/>
          <w:sz w:val="20"/>
          <w:szCs w:val="20"/>
        </w:rPr>
        <w:t xml:space="preserve"> </w:t>
      </w:r>
      <w:r w:rsidRPr="007F0CD0">
        <w:rPr>
          <w:rFonts w:ascii="Times New Roman" w:hAnsi="Times New Roman"/>
          <w:sz w:val="20"/>
          <w:szCs w:val="20"/>
        </w:rPr>
        <w:t>în M.O. nr. 618/2006 cu toate modificările şi completările ulterioare</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 Legea nr. 571/2003 privind Codul fiscal, publicată în M.O., Partea I, nr. 927 / 2003, cu modificările şi completările ulterioare</w:t>
      </w:r>
    </w:p>
    <w:p w:rsidR="00A82F67" w:rsidRPr="007F0CD0" w:rsidRDefault="00A82F67" w:rsidP="007F0CD0">
      <w:pPr>
        <w:pStyle w:val="ListParagraph"/>
        <w:numPr>
          <w:ilvl w:val="0"/>
          <w:numId w:val="7"/>
        </w:numPr>
        <w:spacing w:after="0" w:line="240" w:lineRule="auto"/>
        <w:jc w:val="both"/>
        <w:rPr>
          <w:rFonts w:ascii="Times New Roman" w:hAnsi="Times New Roman"/>
          <w:sz w:val="20"/>
          <w:szCs w:val="20"/>
        </w:rPr>
      </w:pPr>
      <w:r w:rsidRPr="007F0CD0">
        <w:rPr>
          <w:rFonts w:ascii="Times New Roman" w:hAnsi="Times New Roman"/>
          <w:sz w:val="20"/>
          <w:szCs w:val="20"/>
        </w:rPr>
        <w:t>*** Legile anuale ale bugetului</w:t>
      </w:r>
    </w:p>
    <w:p w:rsidR="007F0CD0" w:rsidRDefault="007F0CD0" w:rsidP="007F0CD0">
      <w:pPr>
        <w:spacing w:after="0" w:line="240" w:lineRule="auto"/>
        <w:ind w:firstLine="357"/>
        <w:rPr>
          <w:rFonts w:ascii="Times New Roman" w:hAnsi="Times New Roman"/>
          <w:b/>
          <w:sz w:val="20"/>
          <w:szCs w:val="20"/>
        </w:rPr>
      </w:pPr>
    </w:p>
    <w:p w:rsidR="00A82F67" w:rsidRPr="007F0CD0" w:rsidRDefault="00A82F67" w:rsidP="007F0CD0">
      <w:pPr>
        <w:spacing w:after="0" w:line="240" w:lineRule="auto"/>
        <w:ind w:firstLine="357"/>
        <w:rPr>
          <w:rFonts w:ascii="Times New Roman" w:hAnsi="Times New Roman"/>
          <w:b/>
          <w:sz w:val="20"/>
          <w:szCs w:val="20"/>
        </w:rPr>
      </w:pPr>
      <w:r w:rsidRPr="007F0CD0">
        <w:rPr>
          <w:rFonts w:ascii="Times New Roman" w:hAnsi="Times New Roman"/>
          <w:b/>
          <w:sz w:val="20"/>
          <w:szCs w:val="20"/>
        </w:rPr>
        <w:t>MANAGEMENT</w:t>
      </w:r>
    </w:p>
    <w:p w:rsidR="00A82F67" w:rsidRPr="007F0CD0" w:rsidRDefault="00996F79" w:rsidP="007F0CD0">
      <w:pPr>
        <w:numPr>
          <w:ilvl w:val="0"/>
          <w:numId w:val="37"/>
        </w:numPr>
        <w:spacing w:after="0" w:line="240" w:lineRule="auto"/>
        <w:ind w:left="714" w:hanging="357"/>
        <w:jc w:val="both"/>
        <w:rPr>
          <w:rFonts w:ascii="Times New Roman" w:hAnsi="Times New Roman"/>
          <w:sz w:val="20"/>
          <w:szCs w:val="20"/>
        </w:rPr>
      </w:pPr>
      <w:r w:rsidRPr="007F0CD0">
        <w:rPr>
          <w:rFonts w:ascii="Times New Roman" w:hAnsi="Times New Roman"/>
          <w:sz w:val="20"/>
          <w:szCs w:val="20"/>
        </w:rPr>
        <w:t xml:space="preserve">Burduș, E., </w:t>
      </w:r>
      <w:r w:rsidR="00A82F67" w:rsidRPr="007F0CD0">
        <w:rPr>
          <w:rFonts w:ascii="Times New Roman" w:hAnsi="Times New Roman"/>
          <w:sz w:val="20"/>
          <w:szCs w:val="20"/>
        </w:rPr>
        <w:t>Tratat de management, Editura Economică, București, 2005;</w:t>
      </w:r>
    </w:p>
    <w:p w:rsidR="00A82F67" w:rsidRPr="007F0CD0" w:rsidRDefault="00A82F67" w:rsidP="007F0CD0">
      <w:pPr>
        <w:numPr>
          <w:ilvl w:val="0"/>
          <w:numId w:val="37"/>
        </w:numPr>
        <w:spacing w:after="0" w:line="240" w:lineRule="auto"/>
        <w:ind w:left="714" w:hanging="357"/>
        <w:jc w:val="both"/>
        <w:rPr>
          <w:rFonts w:ascii="Times New Roman" w:hAnsi="Times New Roman"/>
          <w:sz w:val="20"/>
          <w:szCs w:val="20"/>
        </w:rPr>
      </w:pPr>
      <w:r w:rsidRPr="007F0CD0">
        <w:rPr>
          <w:rFonts w:ascii="Times New Roman" w:hAnsi="Times New Roman"/>
          <w:sz w:val="20"/>
          <w:szCs w:val="20"/>
        </w:rPr>
        <w:t>Lefter, V.</w:t>
      </w:r>
      <w:r w:rsidR="00996F79" w:rsidRPr="007F0CD0">
        <w:rPr>
          <w:rFonts w:ascii="Times New Roman" w:hAnsi="Times New Roman"/>
          <w:sz w:val="20"/>
          <w:szCs w:val="20"/>
        </w:rPr>
        <w:t xml:space="preserve">, </w:t>
      </w:r>
      <w:r w:rsidRPr="007F0CD0">
        <w:rPr>
          <w:rFonts w:ascii="Times New Roman" w:hAnsi="Times New Roman"/>
          <w:sz w:val="20"/>
          <w:szCs w:val="20"/>
        </w:rPr>
        <w:t>Managementul resurselor umane, Ed. Economică, Bucureşti, 2008</w:t>
      </w:r>
    </w:p>
    <w:p w:rsidR="00A82F67" w:rsidRPr="007F0CD0" w:rsidRDefault="00A82F67" w:rsidP="007F0CD0">
      <w:pPr>
        <w:numPr>
          <w:ilvl w:val="0"/>
          <w:numId w:val="37"/>
        </w:numPr>
        <w:spacing w:after="0" w:line="240" w:lineRule="auto"/>
        <w:ind w:left="714" w:hanging="357"/>
        <w:jc w:val="both"/>
        <w:rPr>
          <w:rFonts w:ascii="Times New Roman" w:hAnsi="Times New Roman"/>
          <w:sz w:val="20"/>
          <w:szCs w:val="20"/>
        </w:rPr>
      </w:pPr>
      <w:r w:rsidRPr="007F0CD0">
        <w:rPr>
          <w:rFonts w:ascii="Times New Roman" w:hAnsi="Times New Roman"/>
          <w:sz w:val="20"/>
          <w:szCs w:val="20"/>
        </w:rPr>
        <w:lastRenderedPageBreak/>
        <w:t>Nedelea, S.- Managementul organizației, Editura ASE, București, 2008;</w:t>
      </w:r>
    </w:p>
    <w:p w:rsidR="00A82F67" w:rsidRPr="007F0CD0" w:rsidRDefault="00996F79" w:rsidP="007F0CD0">
      <w:pPr>
        <w:numPr>
          <w:ilvl w:val="0"/>
          <w:numId w:val="37"/>
        </w:numPr>
        <w:spacing w:after="0" w:line="240" w:lineRule="auto"/>
        <w:ind w:left="714" w:hanging="357"/>
        <w:jc w:val="both"/>
        <w:rPr>
          <w:rFonts w:ascii="Times New Roman" w:hAnsi="Times New Roman"/>
          <w:sz w:val="20"/>
          <w:szCs w:val="20"/>
        </w:rPr>
      </w:pPr>
      <w:r w:rsidRPr="007F0CD0">
        <w:rPr>
          <w:rFonts w:ascii="Times New Roman" w:hAnsi="Times New Roman"/>
          <w:sz w:val="20"/>
          <w:szCs w:val="20"/>
        </w:rPr>
        <w:t>Nicolescu, O., Verboncu, I.,</w:t>
      </w:r>
      <w:r w:rsidR="00A82F67" w:rsidRPr="007F0CD0">
        <w:rPr>
          <w:rFonts w:ascii="Times New Roman" w:hAnsi="Times New Roman"/>
          <w:sz w:val="20"/>
          <w:szCs w:val="20"/>
        </w:rPr>
        <w:t xml:space="preserve"> Managementul organizației, Editura Economică, București, 2007;</w:t>
      </w:r>
    </w:p>
    <w:p w:rsidR="00A82F67" w:rsidRPr="007F0CD0" w:rsidRDefault="00A82F67" w:rsidP="007F0CD0">
      <w:pPr>
        <w:numPr>
          <w:ilvl w:val="0"/>
          <w:numId w:val="37"/>
        </w:numPr>
        <w:spacing w:after="0" w:line="240" w:lineRule="auto"/>
        <w:ind w:left="714" w:hanging="357"/>
        <w:jc w:val="both"/>
        <w:rPr>
          <w:rFonts w:ascii="Times New Roman" w:hAnsi="Times New Roman"/>
          <w:sz w:val="20"/>
          <w:szCs w:val="20"/>
        </w:rPr>
      </w:pPr>
      <w:r w:rsidRPr="007F0CD0">
        <w:rPr>
          <w:rFonts w:ascii="Times New Roman" w:hAnsi="Times New Roman"/>
          <w:sz w:val="20"/>
          <w:szCs w:val="20"/>
        </w:rPr>
        <w:t>Pârvu F., Stănescu A., Lungu A.</w:t>
      </w:r>
      <w:r w:rsidR="00996F79" w:rsidRPr="007F0CD0">
        <w:rPr>
          <w:rFonts w:ascii="Times New Roman" w:hAnsi="Times New Roman"/>
          <w:sz w:val="20"/>
          <w:szCs w:val="20"/>
        </w:rPr>
        <w:t xml:space="preserve">, </w:t>
      </w:r>
      <w:r w:rsidRPr="007F0CD0">
        <w:rPr>
          <w:rFonts w:ascii="Times New Roman" w:hAnsi="Times New Roman"/>
          <w:sz w:val="20"/>
          <w:szCs w:val="20"/>
        </w:rPr>
        <w:t xml:space="preserve">Management, Editura ASE, București, 2011; </w:t>
      </w:r>
    </w:p>
    <w:p w:rsidR="00A82F67" w:rsidRPr="007F0CD0" w:rsidRDefault="00A82F67" w:rsidP="007F0CD0">
      <w:pPr>
        <w:numPr>
          <w:ilvl w:val="0"/>
          <w:numId w:val="37"/>
        </w:numPr>
        <w:spacing w:after="0" w:line="240" w:lineRule="auto"/>
        <w:jc w:val="both"/>
        <w:rPr>
          <w:rFonts w:ascii="Times New Roman" w:hAnsi="Times New Roman"/>
          <w:sz w:val="20"/>
          <w:szCs w:val="20"/>
        </w:rPr>
      </w:pPr>
      <w:r w:rsidRPr="007F0CD0">
        <w:rPr>
          <w:rFonts w:ascii="Times New Roman" w:hAnsi="Times New Roman"/>
          <w:sz w:val="20"/>
          <w:szCs w:val="20"/>
        </w:rPr>
        <w:t>Popescu D.</w:t>
      </w:r>
      <w:r w:rsidR="00996F79" w:rsidRPr="007F0CD0">
        <w:rPr>
          <w:rFonts w:ascii="Times New Roman" w:hAnsi="Times New Roman"/>
          <w:sz w:val="20"/>
          <w:szCs w:val="20"/>
        </w:rPr>
        <w:t xml:space="preserve">, </w:t>
      </w:r>
      <w:r w:rsidRPr="007F0CD0">
        <w:rPr>
          <w:rFonts w:ascii="Times New Roman" w:hAnsi="Times New Roman"/>
          <w:sz w:val="20"/>
          <w:szCs w:val="20"/>
        </w:rPr>
        <w:t>Managementul general al firmei, Editura ASE, București, 2010;</w:t>
      </w:r>
    </w:p>
    <w:p w:rsidR="00A82F67" w:rsidRPr="007F0CD0" w:rsidRDefault="00A82F67" w:rsidP="007F0CD0">
      <w:pPr>
        <w:numPr>
          <w:ilvl w:val="0"/>
          <w:numId w:val="37"/>
        </w:numPr>
        <w:tabs>
          <w:tab w:val="left" w:pos="360"/>
        </w:tabs>
        <w:spacing w:after="0" w:line="240" w:lineRule="auto"/>
        <w:jc w:val="both"/>
        <w:rPr>
          <w:rFonts w:ascii="Times New Roman" w:hAnsi="Times New Roman"/>
          <w:sz w:val="20"/>
          <w:szCs w:val="20"/>
        </w:rPr>
      </w:pPr>
      <w:r w:rsidRPr="007F0CD0">
        <w:rPr>
          <w:rFonts w:ascii="Times New Roman" w:hAnsi="Times New Roman"/>
          <w:sz w:val="20"/>
          <w:szCs w:val="20"/>
        </w:rPr>
        <w:t>*** Alte publicaţii, manuale şi auxiliare curriculare în vigoare, aprobate de MECT.</w:t>
      </w:r>
    </w:p>
    <w:p w:rsidR="00996F79" w:rsidRPr="007F0CD0" w:rsidRDefault="00996F79" w:rsidP="007F0CD0">
      <w:pPr>
        <w:shd w:val="clear" w:color="auto" w:fill="FFFFFF"/>
        <w:spacing w:after="0" w:line="240" w:lineRule="auto"/>
        <w:ind w:left="360"/>
        <w:jc w:val="both"/>
        <w:rPr>
          <w:rFonts w:ascii="Times New Roman" w:hAnsi="Times New Roman"/>
          <w:b/>
          <w:sz w:val="20"/>
          <w:szCs w:val="20"/>
        </w:rPr>
      </w:pPr>
    </w:p>
    <w:p w:rsidR="001F67E7" w:rsidRPr="007F0CD0" w:rsidRDefault="001F67E7" w:rsidP="007F0CD0">
      <w:pPr>
        <w:shd w:val="clear" w:color="auto" w:fill="FFFFFF"/>
        <w:spacing w:after="0" w:line="240" w:lineRule="auto"/>
        <w:ind w:left="360"/>
        <w:jc w:val="both"/>
        <w:rPr>
          <w:rFonts w:ascii="Times New Roman" w:hAnsi="Times New Roman"/>
          <w:b/>
          <w:sz w:val="20"/>
          <w:szCs w:val="20"/>
        </w:rPr>
      </w:pPr>
      <w:r w:rsidRPr="007F0CD0">
        <w:rPr>
          <w:rFonts w:ascii="Times New Roman" w:hAnsi="Times New Roman"/>
          <w:b/>
          <w:sz w:val="20"/>
          <w:szCs w:val="20"/>
        </w:rPr>
        <w:t>TEMATICA DE DIDACTICĂ A DISCIPLINEI</w:t>
      </w:r>
    </w:p>
    <w:p w:rsidR="001F67E7" w:rsidRPr="007F0CD0" w:rsidRDefault="001F67E7" w:rsidP="007F0CD0">
      <w:pPr>
        <w:pStyle w:val="ListParagraph"/>
        <w:shd w:val="clear" w:color="auto" w:fill="FFFFFF"/>
        <w:spacing w:after="0" w:line="240" w:lineRule="auto"/>
        <w:jc w:val="both"/>
        <w:rPr>
          <w:rFonts w:ascii="Times New Roman" w:hAnsi="Times New Roman"/>
          <w:b/>
          <w:sz w:val="20"/>
          <w:szCs w:val="20"/>
        </w:rPr>
      </w:pPr>
    </w:p>
    <w:tbl>
      <w:tblPr>
        <w:tblW w:w="9782" w:type="dxa"/>
        <w:tblInd w:w="-284" w:type="dxa"/>
        <w:tblLayout w:type="fixed"/>
        <w:tblCellMar>
          <w:left w:w="0" w:type="dxa"/>
          <w:right w:w="0" w:type="dxa"/>
        </w:tblCellMar>
        <w:tblLook w:val="0000"/>
      </w:tblPr>
      <w:tblGrid>
        <w:gridCol w:w="360"/>
        <w:gridCol w:w="2340"/>
        <w:gridCol w:w="7082"/>
      </w:tblGrid>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1.</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Adăscăliţei, A.,</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Instruire  asistată  de  calculator,  Editura  „Polirom”,  Iaşi, 2007</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2.</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Cerghit,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Metode de învăţământ, Editura Didactică și Pedagogică, Bucureşti, 1997</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3.</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Carcea I.M.,</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Consultanţă şi consiliere educaţională, Editura Didactică și Pedagogică, Bucureşti, 2005</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4.</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Cucoş, C.,</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Pedagogie, Editura „Polirom”, Iaşi, 1996</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5.</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Cristea, S. (coord)</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Curriculum pedagogic, Editura Didactică și Pedagogică, Bucureşti, 2006</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6.</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Creţu, C.,</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Curriculum diferenţiat şi personalizat, Editura „Polirom”, Iaşi, 1998</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7.</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Ionescu, M., Radu,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Didactica modernă, Editura „Dacia”, Cluj-Napoca, 1995</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8.</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Jinga, I., Negreţ,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Învăţarea eficientă, EDITIS, Bucureşti, 1994</w:t>
            </w:r>
          </w:p>
        </w:tc>
      </w:tr>
      <w:tr w:rsidR="001F67E7" w:rsidRPr="007F0CD0" w:rsidTr="007F0CD0">
        <w:trPr>
          <w:trHeight w:val="562"/>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9.</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Jinga, I., Istrate, E.</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Instruirea  şi  evaluarea  asistată  de  calculator,  Editura „ALL”, Bucureşti, 2006</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10.</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Joiţa, E.,</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Eficienţa instruirii, Editura Didactică și Pedagogică, Bucureşti, 1998</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11.</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Lisievici P.</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Evaluarea în învățământ. Teorie, practică, instrumente. Editura „Aramis”, București, 2002</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12.</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Manolescu, M.,</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Evaluarea şcolară, Editura „Meteor”, Bucureşti, 2006</w:t>
            </w:r>
          </w:p>
        </w:tc>
      </w:tr>
      <w:tr w:rsidR="001F67E7" w:rsidRPr="007F0CD0" w:rsidTr="007F0CD0">
        <w:trPr>
          <w:trHeight w:val="562"/>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13.</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Neacşu, I.,</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Instruire  şi  învăţare,  ediţia  a  II-a,  revizuită,  Editura Didactică și Pedagogică, Bucureşti, 1999</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14.</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Nicola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Tratat de pedagogie, EDP, Bucureşti, 1996</w:t>
            </w:r>
          </w:p>
        </w:tc>
      </w:tr>
      <w:tr w:rsidR="001F67E7" w:rsidRPr="007F0CD0" w:rsidTr="007F0CD0">
        <w:trPr>
          <w:trHeight w:val="247"/>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15.</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Niţucă, C., Stanciu,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Didactica  disciplinelor  tehnice,  Editura  „Performantica”, 2006</w:t>
            </w:r>
          </w:p>
        </w:tc>
      </w:tr>
      <w:tr w:rsidR="001F67E7" w:rsidRPr="007F0CD0" w:rsidTr="007F0CD0">
        <w:trPr>
          <w:trHeight w:val="277"/>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16.</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Negreţ, I.,</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Didactica Nova, Editura „Aramis”, Bucureşti, 2004</w:t>
            </w:r>
          </w:p>
        </w:tc>
      </w:tr>
      <w:tr w:rsidR="001F67E7" w:rsidRPr="007F0CD0" w:rsidTr="007F0CD0">
        <w:trPr>
          <w:trHeight w:val="562"/>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17.</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Onu, P., Luca, C.,</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Introducere în didactica specialităţii – discipline tehnice şi tehnologice, Editura „Polirom”, Iaşi, 2004</w:t>
            </w:r>
          </w:p>
        </w:tc>
      </w:tr>
      <w:tr w:rsidR="001F67E7" w:rsidRPr="007F0CD0" w:rsidTr="007F0CD0">
        <w:trPr>
          <w:trHeight w:val="29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18.</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Onu, P., Luca, C.,</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Didactica specialităţii, Editura „Gh. Asachi”, Iaşi, 2002</w:t>
            </w:r>
          </w:p>
        </w:tc>
      </w:tr>
      <w:tr w:rsidR="001F67E7" w:rsidRPr="007F0CD0" w:rsidTr="007F0CD0">
        <w:trPr>
          <w:trHeight w:val="624"/>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19.</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Oprea C.L.</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Strategii didactice interactive, Editura Didactică și Pedagogică, București, 2006</w:t>
            </w:r>
          </w:p>
        </w:tc>
      </w:tr>
      <w:tr w:rsidR="001F67E7" w:rsidRPr="007F0CD0" w:rsidTr="007F0CD0">
        <w:trPr>
          <w:trHeight w:val="450"/>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20.</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Petty G.</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Profesorul azi. Metode moderne de predare. Editura „Atelier Didactic”, București, 2007</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22.</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Radu, I., T.,</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Evaluarea în procesul didactic, Editura Didactică și Pedagogică, Bucureşti, 2000</w:t>
            </w:r>
          </w:p>
        </w:tc>
      </w:tr>
      <w:tr w:rsidR="001F67E7" w:rsidRPr="007F0CD0" w:rsidTr="007F0CD0">
        <w:trPr>
          <w:trHeight w:val="287"/>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23.</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Toma, S.,</w:t>
            </w: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Profesorul factor de decizie, Editura „Tehnică”, Bucureşti, 1999</w:t>
            </w:r>
          </w:p>
        </w:tc>
      </w:tr>
      <w:tr w:rsidR="001F67E7" w:rsidRPr="007F0CD0" w:rsidTr="007F0CD0">
        <w:trPr>
          <w:trHeight w:val="562"/>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24.</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Tomşa, G.,</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w w:val="99"/>
                <w:sz w:val="20"/>
                <w:szCs w:val="20"/>
              </w:rPr>
              <w:t xml:space="preserve">Orientarea şi dezvoltarea carierei la elevi, Casa de editură </w:t>
            </w:r>
            <w:r w:rsidRPr="007F0CD0">
              <w:rPr>
                <w:rFonts w:ascii="Times New Roman" w:hAnsi="Times New Roman"/>
                <w:sz w:val="20"/>
                <w:szCs w:val="20"/>
              </w:rPr>
              <w:t>şi presă „Viaţa Românească”, Bucureşti, 1999</w:t>
            </w:r>
          </w:p>
        </w:tc>
      </w:tr>
      <w:tr w:rsidR="001F67E7" w:rsidRPr="007F0CD0" w:rsidTr="007F0CD0">
        <w:trPr>
          <w:trHeight w:val="276"/>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w w:val="91"/>
                <w:sz w:val="20"/>
                <w:szCs w:val="20"/>
              </w:rPr>
              <w:t>25.</w:t>
            </w: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w:t>
            </w:r>
          </w:p>
        </w:tc>
        <w:tc>
          <w:tcPr>
            <w:tcW w:w="7082" w:type="dxa"/>
          </w:tcPr>
          <w:p w:rsidR="001F67E7" w:rsidRPr="007F0CD0" w:rsidRDefault="00D64296"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Curriculum naţional aprobat</w:t>
            </w:r>
            <w:r w:rsidR="001F67E7" w:rsidRPr="007F0CD0">
              <w:rPr>
                <w:rFonts w:ascii="Times New Roman" w:hAnsi="Times New Roman"/>
                <w:sz w:val="20"/>
                <w:szCs w:val="20"/>
              </w:rPr>
              <w:t xml:space="preserve">, </w:t>
            </w:r>
            <w:r w:rsidR="001F67E7" w:rsidRPr="007F0CD0">
              <w:rPr>
                <w:rFonts w:ascii="Times New Roman" w:hAnsi="Times New Roman"/>
                <w:color w:val="0000FF"/>
                <w:sz w:val="20"/>
                <w:szCs w:val="20"/>
                <w:u w:val="single"/>
              </w:rPr>
              <w:t>www.edu.ro</w:t>
            </w:r>
          </w:p>
        </w:tc>
      </w:tr>
      <w:tr w:rsidR="001F67E7" w:rsidRPr="007F0CD0" w:rsidTr="007F0CD0">
        <w:trPr>
          <w:trHeight w:val="562"/>
        </w:trPr>
        <w:tc>
          <w:tcPr>
            <w:tcW w:w="360" w:type="dxa"/>
          </w:tcPr>
          <w:p w:rsidR="001F67E7" w:rsidRPr="007F0CD0" w:rsidRDefault="001F67E7" w:rsidP="007F0CD0">
            <w:pPr>
              <w:widowControl w:val="0"/>
              <w:autoSpaceDE w:val="0"/>
              <w:autoSpaceDN w:val="0"/>
              <w:adjustRightInd w:val="0"/>
              <w:spacing w:after="0" w:line="240" w:lineRule="auto"/>
              <w:rPr>
                <w:rFonts w:ascii="Times New Roman" w:hAnsi="Times New Roman"/>
                <w:w w:val="91"/>
                <w:sz w:val="20"/>
                <w:szCs w:val="20"/>
              </w:rPr>
            </w:pPr>
            <w:r w:rsidRPr="007F0CD0">
              <w:rPr>
                <w:rFonts w:ascii="Times New Roman" w:hAnsi="Times New Roman"/>
                <w:w w:val="91"/>
                <w:sz w:val="20"/>
                <w:szCs w:val="20"/>
              </w:rPr>
              <w:t>26.</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2340" w:type="dxa"/>
          </w:tcPr>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r w:rsidRPr="007F0CD0">
              <w:rPr>
                <w:rFonts w:ascii="Times New Roman" w:hAnsi="Times New Roman"/>
                <w:sz w:val="20"/>
                <w:szCs w:val="20"/>
              </w:rPr>
              <w:t>***</w:t>
            </w:r>
          </w:p>
          <w:p w:rsidR="001F67E7" w:rsidRPr="007F0CD0" w:rsidRDefault="001F67E7" w:rsidP="007F0CD0">
            <w:pPr>
              <w:widowControl w:val="0"/>
              <w:autoSpaceDE w:val="0"/>
              <w:autoSpaceDN w:val="0"/>
              <w:adjustRightInd w:val="0"/>
              <w:spacing w:after="0" w:line="240" w:lineRule="auto"/>
              <w:rPr>
                <w:rFonts w:ascii="Times New Roman" w:hAnsi="Times New Roman"/>
                <w:sz w:val="20"/>
                <w:szCs w:val="20"/>
              </w:rPr>
            </w:pPr>
          </w:p>
        </w:tc>
        <w:tc>
          <w:tcPr>
            <w:tcW w:w="7082" w:type="dxa"/>
          </w:tcPr>
          <w:p w:rsidR="001F67E7" w:rsidRPr="007F0CD0" w:rsidRDefault="001F67E7" w:rsidP="007F0CD0">
            <w:pPr>
              <w:widowControl w:val="0"/>
              <w:autoSpaceDE w:val="0"/>
              <w:autoSpaceDN w:val="0"/>
              <w:adjustRightInd w:val="0"/>
              <w:spacing w:after="0" w:line="240" w:lineRule="auto"/>
              <w:jc w:val="both"/>
              <w:rPr>
                <w:rFonts w:ascii="Times New Roman" w:hAnsi="Times New Roman"/>
                <w:sz w:val="20"/>
                <w:szCs w:val="20"/>
              </w:rPr>
            </w:pPr>
            <w:r w:rsidRPr="007F0CD0">
              <w:rPr>
                <w:rFonts w:ascii="Times New Roman" w:hAnsi="Times New Roman"/>
                <w:sz w:val="20"/>
                <w:szCs w:val="20"/>
              </w:rPr>
              <w:t>Ghiduri  metodologice  pentru  aplicarea  programelor şcolare pentru aria curriculară „Tehnologii”.</w:t>
            </w:r>
          </w:p>
        </w:tc>
      </w:tr>
    </w:tbl>
    <w:p w:rsidR="001F67E7" w:rsidRPr="007F0CD0" w:rsidRDefault="001F67E7" w:rsidP="007F0CD0">
      <w:pPr>
        <w:widowControl w:val="0"/>
        <w:autoSpaceDE w:val="0"/>
        <w:autoSpaceDN w:val="0"/>
        <w:adjustRightInd w:val="0"/>
        <w:spacing w:after="0" w:line="240" w:lineRule="auto"/>
        <w:ind w:left="360"/>
        <w:jc w:val="both"/>
        <w:rPr>
          <w:rFonts w:ascii="Times New Roman" w:hAnsi="Times New Roman"/>
          <w:sz w:val="20"/>
          <w:szCs w:val="20"/>
        </w:rPr>
      </w:pPr>
    </w:p>
    <w:sectPr w:rsidR="001F67E7" w:rsidRPr="007F0CD0" w:rsidSect="007F0CD0">
      <w:pgSz w:w="11906" w:h="16838"/>
      <w:pgMar w:top="993" w:right="991"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54" w:rsidRDefault="00971254" w:rsidP="009742AA">
      <w:pPr>
        <w:spacing w:after="0" w:line="240" w:lineRule="auto"/>
      </w:pPr>
      <w:r>
        <w:separator/>
      </w:r>
    </w:p>
  </w:endnote>
  <w:endnote w:type="continuationSeparator" w:id="0">
    <w:p w:rsidR="00971254" w:rsidRDefault="00971254" w:rsidP="00974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54" w:rsidRDefault="00971254" w:rsidP="009742AA">
      <w:pPr>
        <w:spacing w:after="0" w:line="240" w:lineRule="auto"/>
      </w:pPr>
      <w:r>
        <w:separator/>
      </w:r>
    </w:p>
  </w:footnote>
  <w:footnote w:type="continuationSeparator" w:id="0">
    <w:p w:rsidR="00971254" w:rsidRDefault="00971254" w:rsidP="009742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C66839"/>
    <w:multiLevelType w:val="hybridMultilevel"/>
    <w:tmpl w:val="55CE2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144CFB"/>
    <w:multiLevelType w:val="hybridMultilevel"/>
    <w:tmpl w:val="1DB06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36443C"/>
    <w:multiLevelType w:val="hybridMultilevel"/>
    <w:tmpl w:val="7A20B1C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606EEEF8">
      <w:start w:val="18"/>
      <w:numFmt w:val="decimal"/>
      <w:lvlText w:val="%3"/>
      <w:lvlJc w:val="left"/>
      <w:pPr>
        <w:ind w:left="644"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A20AB6"/>
    <w:multiLevelType w:val="hybridMultilevel"/>
    <w:tmpl w:val="CCA8EA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B840597"/>
    <w:multiLevelType w:val="hybridMultilevel"/>
    <w:tmpl w:val="210870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EC443D"/>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0E0B63CC"/>
    <w:multiLevelType w:val="hybridMultilevel"/>
    <w:tmpl w:val="2B18B1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0EE819B7"/>
    <w:multiLevelType w:val="hybridMultilevel"/>
    <w:tmpl w:val="DFA6986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0EEA56E6"/>
    <w:multiLevelType w:val="hybridMultilevel"/>
    <w:tmpl w:val="1ECE2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A064EE"/>
    <w:multiLevelType w:val="hybridMultilevel"/>
    <w:tmpl w:val="946685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604468A"/>
    <w:multiLevelType w:val="hybridMultilevel"/>
    <w:tmpl w:val="C9A696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A683C6B"/>
    <w:multiLevelType w:val="hybridMultilevel"/>
    <w:tmpl w:val="6C0A1B9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B4851F9"/>
    <w:multiLevelType w:val="hybridMultilevel"/>
    <w:tmpl w:val="BF3E5AC6"/>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1CE244B0"/>
    <w:multiLevelType w:val="hybridMultilevel"/>
    <w:tmpl w:val="C53ACB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F900530"/>
    <w:multiLevelType w:val="hybridMultilevel"/>
    <w:tmpl w:val="21D2E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6257BF"/>
    <w:multiLevelType w:val="hybridMultilevel"/>
    <w:tmpl w:val="D792A88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25BA19E0"/>
    <w:multiLevelType w:val="hybridMultilevel"/>
    <w:tmpl w:val="4BC662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D1E1288"/>
    <w:multiLevelType w:val="hybridMultilevel"/>
    <w:tmpl w:val="DA4C5872"/>
    <w:lvl w:ilvl="0" w:tplc="65AAB85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6E4885"/>
    <w:multiLevelType w:val="hybridMultilevel"/>
    <w:tmpl w:val="A704D4F2"/>
    <w:lvl w:ilvl="0" w:tplc="0409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3EC2CDD"/>
    <w:multiLevelType w:val="hybridMultilevel"/>
    <w:tmpl w:val="756069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53F5E97"/>
    <w:multiLevelType w:val="hybridMultilevel"/>
    <w:tmpl w:val="0AF241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71B3C88"/>
    <w:multiLevelType w:val="hybridMultilevel"/>
    <w:tmpl w:val="F894C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7B017FB"/>
    <w:multiLevelType w:val="hybridMultilevel"/>
    <w:tmpl w:val="2A24EA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8B7003C"/>
    <w:multiLevelType w:val="hybridMultilevel"/>
    <w:tmpl w:val="6AFCE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A73166F"/>
    <w:multiLevelType w:val="hybridMultilevel"/>
    <w:tmpl w:val="8452B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26E271C"/>
    <w:multiLevelType w:val="hybridMultilevel"/>
    <w:tmpl w:val="E8605FD0"/>
    <w:lvl w:ilvl="0" w:tplc="5A221C3E">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2DF224D"/>
    <w:multiLevelType w:val="hybridMultilevel"/>
    <w:tmpl w:val="54F6E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88547A4"/>
    <w:multiLevelType w:val="hybridMultilevel"/>
    <w:tmpl w:val="54A8376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496566CB"/>
    <w:multiLevelType w:val="hybridMultilevel"/>
    <w:tmpl w:val="6B7AA3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4A2B128D"/>
    <w:multiLevelType w:val="hybridMultilevel"/>
    <w:tmpl w:val="DB9804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FFD6B81"/>
    <w:multiLevelType w:val="hybridMultilevel"/>
    <w:tmpl w:val="38EACD8E"/>
    <w:lvl w:ilvl="0" w:tplc="8FAC566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566F3907"/>
    <w:multiLevelType w:val="hybridMultilevel"/>
    <w:tmpl w:val="481EF3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26331A3"/>
    <w:multiLevelType w:val="multilevel"/>
    <w:tmpl w:val="EBDE583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DD008E8"/>
    <w:multiLevelType w:val="hybridMultilevel"/>
    <w:tmpl w:val="B442CC64"/>
    <w:lvl w:ilvl="0" w:tplc="0409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E28463F"/>
    <w:multiLevelType w:val="hybridMultilevel"/>
    <w:tmpl w:val="881860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1C559AF"/>
    <w:multiLevelType w:val="hybridMultilevel"/>
    <w:tmpl w:val="878686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D440B5"/>
    <w:multiLevelType w:val="hybridMultilevel"/>
    <w:tmpl w:val="2A80D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D8A7B64"/>
    <w:multiLevelType w:val="hybridMultilevel"/>
    <w:tmpl w:val="029448B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E7F215B"/>
    <w:multiLevelType w:val="hybridMultilevel"/>
    <w:tmpl w:val="9FFC2336"/>
    <w:lvl w:ilvl="0" w:tplc="0409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8"/>
  </w:num>
  <w:num w:numId="4">
    <w:abstractNumId w:val="36"/>
  </w:num>
  <w:num w:numId="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9"/>
  </w:num>
  <w:num w:numId="8">
    <w:abstractNumId w:val="24"/>
  </w:num>
  <w:num w:numId="9">
    <w:abstractNumId w:val="26"/>
  </w:num>
  <w:num w:numId="10">
    <w:abstractNumId w:val="6"/>
  </w:num>
  <w:num w:numId="11">
    <w:abstractNumId w:val="4"/>
  </w:num>
  <w:num w:numId="12">
    <w:abstractNumId w:val="16"/>
  </w:num>
  <w:num w:numId="13">
    <w:abstractNumId w:val="41"/>
  </w:num>
  <w:num w:numId="14">
    <w:abstractNumId w:val="33"/>
  </w:num>
  <w:num w:numId="15">
    <w:abstractNumId w:val="10"/>
  </w:num>
  <w:num w:numId="16">
    <w:abstractNumId w:val="30"/>
  </w:num>
  <w:num w:numId="17">
    <w:abstractNumId w:val="2"/>
  </w:num>
  <w:num w:numId="18">
    <w:abstractNumId w:val="3"/>
  </w:num>
  <w:num w:numId="19">
    <w:abstractNumId w:val="27"/>
  </w:num>
  <w:num w:numId="20">
    <w:abstractNumId w:val="20"/>
  </w:num>
  <w:num w:numId="21">
    <w:abstractNumId w:val="32"/>
  </w:num>
  <w:num w:numId="22">
    <w:abstractNumId w:val="39"/>
  </w:num>
  <w:num w:numId="23">
    <w:abstractNumId w:val="22"/>
  </w:num>
  <w:num w:numId="24">
    <w:abstractNumId w:val="25"/>
  </w:num>
  <w:num w:numId="25">
    <w:abstractNumId w:val="19"/>
  </w:num>
  <w:num w:numId="26">
    <w:abstractNumId w:val="37"/>
  </w:num>
  <w:num w:numId="27">
    <w:abstractNumId w:val="23"/>
  </w:num>
  <w:num w:numId="28">
    <w:abstractNumId w:val="43"/>
  </w:num>
  <w:num w:numId="29">
    <w:abstractNumId w:val="21"/>
  </w:num>
  <w:num w:numId="30">
    <w:abstractNumId w:val="42"/>
  </w:num>
  <w:num w:numId="31">
    <w:abstractNumId w:val="29"/>
  </w:num>
  <w:num w:numId="32">
    <w:abstractNumId w:val="8"/>
  </w:num>
  <w:num w:numId="33">
    <w:abstractNumId w:val="38"/>
  </w:num>
  <w:num w:numId="34">
    <w:abstractNumId w:val="35"/>
  </w:num>
  <w:num w:numId="35">
    <w:abstractNumId w:val="14"/>
  </w:num>
  <w:num w:numId="36">
    <w:abstractNumId w:val="7"/>
  </w:num>
  <w:num w:numId="37">
    <w:abstractNumId w:val="12"/>
  </w:num>
  <w:num w:numId="38">
    <w:abstractNumId w:val="31"/>
  </w:num>
  <w:num w:numId="39">
    <w:abstractNumId w:val="1"/>
  </w:num>
  <w:num w:numId="40">
    <w:abstractNumId w:val="11"/>
  </w:num>
  <w:num w:numId="41">
    <w:abstractNumId w:val="34"/>
  </w:num>
  <w:num w:numId="42">
    <w:abstractNumId w:val="0"/>
  </w:num>
  <w:num w:numId="43">
    <w:abstractNumId w:val="28"/>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1"/>
    <w:footnote w:id="0"/>
  </w:footnotePr>
  <w:endnotePr>
    <w:endnote w:id="-1"/>
    <w:endnote w:id="0"/>
  </w:endnotePr>
  <w:compat/>
  <w:rsids>
    <w:rsidRoot w:val="00DD42D2"/>
    <w:rsid w:val="000201A0"/>
    <w:rsid w:val="00046596"/>
    <w:rsid w:val="00102ADE"/>
    <w:rsid w:val="00127B7E"/>
    <w:rsid w:val="0014062B"/>
    <w:rsid w:val="00160562"/>
    <w:rsid w:val="0017217D"/>
    <w:rsid w:val="001A4420"/>
    <w:rsid w:val="001D141A"/>
    <w:rsid w:val="001F67E7"/>
    <w:rsid w:val="0025202F"/>
    <w:rsid w:val="00260474"/>
    <w:rsid w:val="002667E1"/>
    <w:rsid w:val="002752E8"/>
    <w:rsid w:val="002A590A"/>
    <w:rsid w:val="002B7E40"/>
    <w:rsid w:val="002D2209"/>
    <w:rsid w:val="00343154"/>
    <w:rsid w:val="003965D0"/>
    <w:rsid w:val="003B178C"/>
    <w:rsid w:val="003C156F"/>
    <w:rsid w:val="0041666E"/>
    <w:rsid w:val="00440F53"/>
    <w:rsid w:val="004559C4"/>
    <w:rsid w:val="00457211"/>
    <w:rsid w:val="004B12EA"/>
    <w:rsid w:val="005278AB"/>
    <w:rsid w:val="005440F5"/>
    <w:rsid w:val="00556F58"/>
    <w:rsid w:val="005B15C5"/>
    <w:rsid w:val="005E2FE0"/>
    <w:rsid w:val="006A445D"/>
    <w:rsid w:val="006B617E"/>
    <w:rsid w:val="007322CD"/>
    <w:rsid w:val="0074674F"/>
    <w:rsid w:val="00793A25"/>
    <w:rsid w:val="007C3608"/>
    <w:rsid w:val="007F0CD0"/>
    <w:rsid w:val="0080556E"/>
    <w:rsid w:val="008230FE"/>
    <w:rsid w:val="00903659"/>
    <w:rsid w:val="009275F6"/>
    <w:rsid w:val="00971254"/>
    <w:rsid w:val="009742AA"/>
    <w:rsid w:val="009757B9"/>
    <w:rsid w:val="00984424"/>
    <w:rsid w:val="00996F79"/>
    <w:rsid w:val="009B16FB"/>
    <w:rsid w:val="00A04B47"/>
    <w:rsid w:val="00A16B6B"/>
    <w:rsid w:val="00A43A88"/>
    <w:rsid w:val="00A615C5"/>
    <w:rsid w:val="00A82F67"/>
    <w:rsid w:val="00A9437D"/>
    <w:rsid w:val="00AC38B8"/>
    <w:rsid w:val="00B1173D"/>
    <w:rsid w:val="00B5130F"/>
    <w:rsid w:val="00B66AD1"/>
    <w:rsid w:val="00B8331A"/>
    <w:rsid w:val="00BC3F8A"/>
    <w:rsid w:val="00C01AAF"/>
    <w:rsid w:val="00C54F9F"/>
    <w:rsid w:val="00C707A7"/>
    <w:rsid w:val="00C9334B"/>
    <w:rsid w:val="00CA5392"/>
    <w:rsid w:val="00D00EFB"/>
    <w:rsid w:val="00D64296"/>
    <w:rsid w:val="00D75044"/>
    <w:rsid w:val="00D81AF9"/>
    <w:rsid w:val="00D87452"/>
    <w:rsid w:val="00DC49BB"/>
    <w:rsid w:val="00DD1A20"/>
    <w:rsid w:val="00DD42D2"/>
    <w:rsid w:val="00E35305"/>
    <w:rsid w:val="00E37EB8"/>
    <w:rsid w:val="00E56236"/>
    <w:rsid w:val="00ED595A"/>
    <w:rsid w:val="00EF44EB"/>
    <w:rsid w:val="00F274C7"/>
    <w:rsid w:val="00F8224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5D0"/>
    <w:pPr>
      <w:spacing w:after="200" w:line="276" w:lineRule="auto"/>
    </w:pPr>
    <w:rPr>
      <w:sz w:val="22"/>
      <w:szCs w:val="22"/>
      <w:lang w:val="ro-RO"/>
    </w:rPr>
  </w:style>
  <w:style w:type="paragraph" w:styleId="Heading1">
    <w:name w:val="heading 1"/>
    <w:basedOn w:val="Normal"/>
    <w:link w:val="Heading1Char"/>
    <w:uiPriority w:val="9"/>
    <w:qFormat/>
    <w:rsid w:val="00C01AA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A590A"/>
    <w:rPr>
      <w:color w:val="0000FF"/>
      <w:u w:val="single"/>
    </w:rPr>
  </w:style>
  <w:style w:type="paragraph" w:styleId="ListParagraph">
    <w:name w:val="List Paragraph"/>
    <w:basedOn w:val="Normal"/>
    <w:uiPriority w:val="34"/>
    <w:qFormat/>
    <w:rsid w:val="009742AA"/>
    <w:pPr>
      <w:ind w:left="720"/>
      <w:contextualSpacing/>
    </w:pPr>
  </w:style>
  <w:style w:type="paragraph" w:styleId="Header">
    <w:name w:val="header"/>
    <w:basedOn w:val="Normal"/>
    <w:link w:val="HeaderChar"/>
    <w:uiPriority w:val="99"/>
    <w:unhideWhenUsed/>
    <w:rsid w:val="009742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42AA"/>
  </w:style>
  <w:style w:type="paragraph" w:styleId="Footer">
    <w:name w:val="footer"/>
    <w:basedOn w:val="Normal"/>
    <w:link w:val="FooterChar"/>
    <w:uiPriority w:val="99"/>
    <w:unhideWhenUsed/>
    <w:rsid w:val="009742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42AA"/>
  </w:style>
  <w:style w:type="character" w:customStyle="1" w:styleId="Heading1Char">
    <w:name w:val="Heading 1 Char"/>
    <w:link w:val="Heading1"/>
    <w:uiPriority w:val="9"/>
    <w:rsid w:val="00C01AAF"/>
    <w:rPr>
      <w:rFonts w:ascii="Times New Roman" w:eastAsia="Times New Roman" w:hAnsi="Times New Roman" w:cs="Times New Roman"/>
      <w:b/>
      <w:bCs/>
      <w:kern w:val="36"/>
      <w:sz w:val="48"/>
      <w:szCs w:val="48"/>
      <w:lang w:eastAsia="ro-RO"/>
    </w:rPr>
  </w:style>
  <w:style w:type="paragraph" w:customStyle="1" w:styleId="Default">
    <w:name w:val="Default"/>
    <w:rsid w:val="00457211"/>
    <w:pPr>
      <w:autoSpaceDE w:val="0"/>
      <w:autoSpaceDN w:val="0"/>
      <w:adjustRightInd w:val="0"/>
    </w:pPr>
    <w:rPr>
      <w:rFonts w:ascii="Times New Roman" w:eastAsia="Times New Roman" w:hAnsi="Times New Roman"/>
      <w:color w:val="000000"/>
      <w:sz w:val="24"/>
      <w:szCs w:val="24"/>
    </w:rPr>
  </w:style>
  <w:style w:type="paragraph" w:styleId="BodyText">
    <w:name w:val="Body Text"/>
    <w:basedOn w:val="Normal"/>
    <w:link w:val="BodyTextChar"/>
    <w:rsid w:val="00F274C7"/>
    <w:pPr>
      <w:spacing w:after="0" w:line="240" w:lineRule="auto"/>
    </w:pPr>
    <w:rPr>
      <w:rFonts w:ascii="Times New Roman" w:eastAsia="Times New Roman" w:hAnsi="Times New Roman"/>
      <w:sz w:val="24"/>
      <w:szCs w:val="20"/>
      <w:lang w:val="en-US"/>
    </w:rPr>
  </w:style>
  <w:style w:type="character" w:customStyle="1" w:styleId="BodyTextChar">
    <w:name w:val="Body Text Char"/>
    <w:link w:val="BodyText"/>
    <w:rsid w:val="00F274C7"/>
    <w:rPr>
      <w:rFonts w:ascii="Times New Roman" w:eastAsia="Times New Roman" w:hAnsi="Times New Roman"/>
      <w:sz w:val="24"/>
      <w:lang w:val="en-US" w:eastAsia="en-US"/>
    </w:rPr>
  </w:style>
  <w:style w:type="paragraph" w:styleId="Title">
    <w:name w:val="Title"/>
    <w:basedOn w:val="Normal"/>
    <w:link w:val="TitleChar"/>
    <w:qFormat/>
    <w:rsid w:val="002D2209"/>
    <w:pPr>
      <w:spacing w:after="0" w:line="240" w:lineRule="auto"/>
      <w:jc w:val="center"/>
    </w:pPr>
    <w:rPr>
      <w:rFonts w:ascii="Times New Roman" w:eastAsia="Times New Roman" w:hAnsi="Times New Roman"/>
      <w:b/>
      <w:sz w:val="20"/>
      <w:szCs w:val="20"/>
    </w:rPr>
  </w:style>
  <w:style w:type="character" w:customStyle="1" w:styleId="TitleChar">
    <w:name w:val="Title Char"/>
    <w:link w:val="Title"/>
    <w:rsid w:val="002D2209"/>
    <w:rPr>
      <w:rFonts w:ascii="Times New Roman" w:eastAsia="Times New Roman" w:hAnsi="Times New Roman"/>
      <w:b/>
      <w:lang w:eastAsia="en-US"/>
    </w:rPr>
  </w:style>
  <w:style w:type="paragraph" w:customStyle="1" w:styleId="Heading22">
    <w:name w:val="Heading 22"/>
    <w:basedOn w:val="Normal"/>
    <w:next w:val="Normal"/>
    <w:rsid w:val="001F67E7"/>
    <w:pPr>
      <w:autoSpaceDE w:val="0"/>
      <w:autoSpaceDN w:val="0"/>
      <w:adjustRightInd w:val="0"/>
      <w:spacing w:after="0"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77204519">
      <w:bodyDiv w:val="1"/>
      <w:marLeft w:val="0"/>
      <w:marRight w:val="0"/>
      <w:marTop w:val="0"/>
      <w:marBottom w:val="0"/>
      <w:divBdr>
        <w:top w:val="none" w:sz="0" w:space="0" w:color="auto"/>
        <w:left w:val="none" w:sz="0" w:space="0" w:color="auto"/>
        <w:bottom w:val="none" w:sz="0" w:space="0" w:color="auto"/>
        <w:right w:val="none" w:sz="0" w:space="0" w:color="auto"/>
      </w:divBdr>
    </w:div>
    <w:div w:id="1313489419">
      <w:bodyDiv w:val="1"/>
      <w:marLeft w:val="0"/>
      <w:marRight w:val="0"/>
      <w:marTop w:val="0"/>
      <w:marBottom w:val="0"/>
      <w:divBdr>
        <w:top w:val="none" w:sz="0" w:space="0" w:color="auto"/>
        <w:left w:val="none" w:sz="0" w:space="0" w:color="auto"/>
        <w:bottom w:val="none" w:sz="0" w:space="0" w:color="auto"/>
        <w:right w:val="none" w:sz="0" w:space="0" w:color="auto"/>
      </w:divBdr>
    </w:div>
    <w:div w:id="1392194743">
      <w:bodyDiv w:val="1"/>
      <w:marLeft w:val="0"/>
      <w:marRight w:val="0"/>
      <w:marTop w:val="0"/>
      <w:marBottom w:val="0"/>
      <w:divBdr>
        <w:top w:val="none" w:sz="0" w:space="0" w:color="auto"/>
        <w:left w:val="none" w:sz="0" w:space="0" w:color="auto"/>
        <w:bottom w:val="none" w:sz="0" w:space="0" w:color="auto"/>
        <w:right w:val="none" w:sz="0" w:space="0" w:color="auto"/>
      </w:divBdr>
      <w:divsChild>
        <w:div w:id="654383631">
          <w:marLeft w:val="0"/>
          <w:marRight w:val="0"/>
          <w:marTop w:val="0"/>
          <w:marBottom w:val="0"/>
          <w:divBdr>
            <w:top w:val="none" w:sz="0" w:space="0" w:color="auto"/>
            <w:left w:val="none" w:sz="0" w:space="0" w:color="auto"/>
            <w:bottom w:val="none" w:sz="0" w:space="0" w:color="auto"/>
            <w:right w:val="none" w:sz="0" w:space="0" w:color="auto"/>
          </w:divBdr>
          <w:divsChild>
            <w:div w:id="64767370">
              <w:marLeft w:val="0"/>
              <w:marRight w:val="0"/>
              <w:marTop w:val="0"/>
              <w:marBottom w:val="0"/>
              <w:divBdr>
                <w:top w:val="none" w:sz="0" w:space="0" w:color="auto"/>
                <w:left w:val="none" w:sz="0" w:space="0" w:color="auto"/>
                <w:bottom w:val="none" w:sz="0" w:space="0" w:color="auto"/>
                <w:right w:val="none" w:sz="0" w:space="0" w:color="auto"/>
              </w:divBdr>
            </w:div>
            <w:div w:id="588807158">
              <w:marLeft w:val="0"/>
              <w:marRight w:val="0"/>
              <w:marTop w:val="0"/>
              <w:marBottom w:val="0"/>
              <w:divBdr>
                <w:top w:val="none" w:sz="0" w:space="0" w:color="auto"/>
                <w:left w:val="none" w:sz="0" w:space="0" w:color="auto"/>
                <w:bottom w:val="none" w:sz="0" w:space="0" w:color="auto"/>
                <w:right w:val="none" w:sz="0" w:space="0" w:color="auto"/>
              </w:divBdr>
            </w:div>
            <w:div w:id="747655864">
              <w:marLeft w:val="0"/>
              <w:marRight w:val="0"/>
              <w:marTop w:val="0"/>
              <w:marBottom w:val="0"/>
              <w:divBdr>
                <w:top w:val="none" w:sz="0" w:space="0" w:color="auto"/>
                <w:left w:val="none" w:sz="0" w:space="0" w:color="auto"/>
                <w:bottom w:val="none" w:sz="0" w:space="0" w:color="auto"/>
                <w:right w:val="none" w:sz="0" w:space="0" w:color="auto"/>
              </w:divBdr>
            </w:div>
            <w:div w:id="1271085504">
              <w:marLeft w:val="0"/>
              <w:marRight w:val="0"/>
              <w:marTop w:val="0"/>
              <w:marBottom w:val="0"/>
              <w:divBdr>
                <w:top w:val="none" w:sz="0" w:space="0" w:color="auto"/>
                <w:left w:val="none" w:sz="0" w:space="0" w:color="auto"/>
                <w:bottom w:val="none" w:sz="0" w:space="0" w:color="auto"/>
                <w:right w:val="none" w:sz="0" w:space="0" w:color="auto"/>
              </w:divBdr>
            </w:div>
            <w:div w:id="1509178153">
              <w:marLeft w:val="0"/>
              <w:marRight w:val="0"/>
              <w:marTop w:val="0"/>
              <w:marBottom w:val="0"/>
              <w:divBdr>
                <w:top w:val="none" w:sz="0" w:space="0" w:color="auto"/>
                <w:left w:val="none" w:sz="0" w:space="0" w:color="auto"/>
                <w:bottom w:val="none" w:sz="0" w:space="0" w:color="auto"/>
                <w:right w:val="none" w:sz="0" w:space="0" w:color="auto"/>
              </w:divBdr>
            </w:div>
            <w:div w:id="1881505786">
              <w:marLeft w:val="0"/>
              <w:marRight w:val="0"/>
              <w:marTop w:val="0"/>
              <w:marBottom w:val="0"/>
              <w:divBdr>
                <w:top w:val="none" w:sz="0" w:space="0" w:color="auto"/>
                <w:left w:val="none" w:sz="0" w:space="0" w:color="auto"/>
                <w:bottom w:val="none" w:sz="0" w:space="0" w:color="auto"/>
                <w:right w:val="none" w:sz="0" w:space="0" w:color="auto"/>
              </w:divBdr>
            </w:div>
            <w:div w:id="20638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3170</Words>
  <Characters>18386</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PROGRAMA</vt:lpstr>
      <vt:lpstr>PROGRAMA</vt:lpstr>
    </vt:vector>
  </TitlesOfParts>
  <Company>Kretzulescu</Company>
  <LinksUpToDate>false</LinksUpToDate>
  <CharactersWithSpaces>21513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dc:title>
  <dc:creator>CameliaP</dc:creator>
  <cp:lastModifiedBy>cristina.dascalu</cp:lastModifiedBy>
  <cp:revision>4</cp:revision>
  <cp:lastPrinted>2015-10-06T13:14:00Z</cp:lastPrinted>
  <dcterms:created xsi:type="dcterms:W3CDTF">2015-10-20T07:40:00Z</dcterms:created>
  <dcterms:modified xsi:type="dcterms:W3CDTF">2015-10-26T07:35:00Z</dcterms:modified>
</cp:coreProperties>
</file>